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60"/>
          <w:tab w:val="center" w:pos="4393"/>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eastAsia="方正小标宋_GBK"/>
          <w:color w:val="FF0000"/>
          <w:spacing w:val="100"/>
          <w:sz w:val="60"/>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6"/>
        <w:tblW w:w="14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721"/>
        <w:gridCol w:w="667"/>
        <w:gridCol w:w="1050"/>
        <w:gridCol w:w="1033"/>
        <w:gridCol w:w="1034"/>
        <w:gridCol w:w="1016"/>
        <w:gridCol w:w="784"/>
        <w:gridCol w:w="733"/>
        <w:gridCol w:w="700"/>
        <w:gridCol w:w="717"/>
        <w:gridCol w:w="2933"/>
        <w:gridCol w:w="2826"/>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84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原州区涉企经营许可事项改革清单（中央层面设定，2021年版）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76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（共523项，其中在我区承接实施47项）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2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9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2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公安部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公安机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取消“典当业特种行业许可证核发”。</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1.加强部门间信息共享，省级地方金融监管部门在实施“设立典当行及分支机构审批”后及时将有关信息推送至公安机关，公安机关及时将典当行及其分支机构纳入监管范围。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2.开展“双随机、一公开”监管，发现违法违规行为要依法查处并公开结果。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诊所设置审批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开办诊所不再向卫生健康部门申请办理设置审批，直接办理诊所执业备案。</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计划生育技术服务机构设立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生育技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术服务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取消“计划生育技术服务机构设立许可”，纳入“母婴保健专项技术服务许可”进行统一审批管理。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1.加强监督管理，发现违法违规行为要依法查处并公开结果。2.加强信用监管，将计划生育技术服务机构执业状况记入信用记录并依法向社会公布。3.依法及时处理投诉举报。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部分医疗机构（除三级医院、三级妇幼保健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院、急救中心、急救站、临床检验中心、中外合资合作医疗机构、港澳台独资医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疗机构外）《设置医疗机构批准书》核发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在草原上开展经营性旅游活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草原作业许可证（草原经营性旅游活动）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林草部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取消“在草原山开展经营性旅游活动审批”。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开展“双随机、一公开”监管，在草原征占用行为监管过程中，一并对有关经营性旅游活动进行检查，发现违法违规行为要依法查处并公开结果。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取消对诊所执业的许可准入管理，改为备案管理。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定》《旅馆业治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办法》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旅馆业特种行业应具备的条件和需提交的材料（包括房屋建筑、消防设备、出入口和通道等符合《中华人民共和国消防法》等规定，具备必要的防盗安全设施）。申请人承诺符合条件并提交材料的，当场作出审批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定》《印铸刻字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业暂行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公章刻制业特种行业应具备的条件和需提交的材料（包括申请登记表、像片、略图、名册）。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息网络安全审核</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批准文件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制作并公布告知承诺书格式文本，一次性告知申请人申办互联网上网服务营业场所信息网络安全审核应具备的条件和需提交的材料。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合理确定抽查比例，依法查处违法违规行为。3.加强信用监管，建立从业人员信用记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财</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政</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自治区财政厅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中介机构从事代理记账业务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代理记账许可证书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计法》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财政部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以告知承诺形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民办职业培训学校设立、分立、合并、变更及终止审批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《中华人民共和国民办教育促法》《中华人民共和国民办教育促进法实施条例》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1.对按照告知承诺制审批的学校实行全覆盖例行检查，发现实际情况与承诺内容不符的，依法撤销审批并从重处罚。2.加强日常监管和年检，依法公开检查结果。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《中华人民共和国就业促进法》《人力资源市场暂行条例》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1.开展“双随机、一公开”监管，发现违法违规行为要依法查处并公开结果。2.加强信用监管，依法向社会公布人力资源服务机构信用状况，依法依规对失信主体开展失信惩戒。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住房城乡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自治区住房城乡建设厅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《国务院对确需保留的行政审批项目设定行政许可的决定》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县级以上地方住房城乡建设（境生）部门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1.开展“双随机、一公开”监管，发现违法违规行为要依法查处并公开结果。2.加强信用监管，依法向社会公布卫生状况存在严重问题的公共场所信息。3.畅通投诉举报渠道，依法及时处理投诉举报。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安全检查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公众聚集场所投入使用、营业前消防安全检查意见书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设区的市、县消防救援机构</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林草种子（普通）生产经营许可证核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县级以上地方林草部门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教</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育</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自治区教育厅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实施中等及中等以下学历教育、学前教育、自学考试助学及其他文化教育的民办学校设立、变更和终止审批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《中华人民共和国民办教育促进法》《中华人民共和国民办教育促进法实施条例》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县级以上地方教育部门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水</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利</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自治区水利厅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《中华人民共和国水法》《取水许可和水资源费征收管理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流域管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理机构；县级以上地方水利部门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动合同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人力资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1.开展“双随机、一公开”监管，发现违法违规行为要依法查处。2.加强信用监管，依法向社会公布劳务派遣企业信用状况，依法依规对失信主体开展失信惩戒。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收购站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生鲜乳收购许可证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《乳品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质量安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全监督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业农村（畜牧</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兽医）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1.开展“双随机、一公开”监管，发现违法违规行为要依法查处并公开结果。2.加强对生鲜乳收购站的监管，将其全部纳入监管监测信息系统，实时掌握收购、运营情况。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种子、食用菌菌种生产经营许可证核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农作物种子、食用菌菌种生产经营许可证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兽药经营许可证核发（非生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物制类）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将审批时限由30个工作日压减至20个工作日。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1.开展“双随机、一公开”监管，发现违法违规行为要依法查处并公开查处结果。2.对风险等级高的领域、投诉举报多的企业增加监督检查次数和抽检兽药数量，实施重点监管。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2.不再要求申请人同时提供申请材料的纸质文件和电子文档。</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1.实现全国一网通办。2.对能够通过有关信息系统或者部门间信息共享核查的证明材料，不再要求申请人提供。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府</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种场（不含原种场）的水产苗种生产许可证核发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水产苗种生产许可证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营单位设立审批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网络文化经营许可证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文化和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旅游部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2.取消对互联网上网服务营业场所的计算机数量限制。3.不再要求申请人提供资金信用证明等材料。4.将审批时限由20个工作日压减至10个工作日。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文艺表演团体设立审批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性演出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染病防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治法》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不再要求申请人提供从业人员健康体检合格证明。</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1.开展“双随机、一公开”监管，发现违法违规行为要依法查处。2.强化部门协同监管，卫生健康部门向供水主管部门通报饮用水供水单位监督检查情况。3.畅通投诉举报渠道，依法及时处理投诉举报，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放射源诊疗技术和医用辐射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《中华人民共和国职业病防</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治法》《放射性同位</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素与射线装置安全和防护条例》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 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母婴保健专项技术服务许可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《中华人民共和国母婴保健</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法》《中华人民共和国母婴保健法实施法》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将开展婚前医学检查、产前筛查的母婴保健专项技术服务机构的审批权限下放至县级卫生健康部门。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构（三级医院、三级妇幼保健院、急救中心、急救站、临床检验中心、中外合资合作医疗机构、港澳台独资医疗机构）设置审批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加快推广电子化审批。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构（不含诊所）执业登记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1.取消医疗机构验资证明。2.实现医疗机构电子化注册登记。</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优化审批流程，实现申请、审批“一网通办”和“不见面、马上办”。2.精简申请材料，压缩审批时限。取消兜底性表述，将应急预案备案、安全生产费用提取备案、主要负责人和安全管理人员合格证等材料调整为内部核查，承诺办结时限压缩至7个工作日。3.实行“一张清单”。依托宁夏政务服务网，向社会公开事项办理审查工作细则，公开办理方式、时限、条件、依据等要素。</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烟花爆竹经营（零售）企业信用状况，对失信主体开展联合惩戒。3.建立审管衔接机制，7个工作日内落实公示公开，并告知事中事后监管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依托宁夏行政审批与公共服务系统、宁夏投资项目在线审批监管平台以及“我的宁夏”政务APP客户端，为企业和群众办事提供统一的网上申办服务渠道，真正实现“一网通办”。2.压缩审批时限，由30个工作日压减至10个工作日内办结，部分变更事项调整为即办件办理。3.取消企业主要负责人、安全生产管理人员、特种作业人员、其他从业人员相关资格证书等材料，调整为内部核查。4.取消重大危险源、应急预案备案证明等材料。5.对不构成重大危险源的危险化学品经营企业，包括专门从事危险化学品仓储经营、带有储存设施经营危险化学品的企业，在申请危险化学品经营许可证和延期换证时，不再要求其提交安全评价报告等文件资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危险化学品经营企业信用状况，对失信主体开展联合惩戒。3.建立审管衔接机制，7个工作日内落实公示公开，并告知事中事后监管责任部门。4.定期对企业进行专家指导服务，协助做好整改落实，主动对接行政审批机关并反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《全民健身条例》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市、县（区）体育部门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对全区高危险性体育项目经营场所进行检查，对检查发现的问题责令整改。2.建立健全跨区域、跨层级、跨部门协同监管制度，联合文化旅游等部门，进一步推进联合执法。3.加强信用监管，将有严重违法违规行为的企业和体育从业人员列入体育市场黑名单，对其实施信用约束和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设立健身气功站点审批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健身气功站点注册证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重点对健身气功站点负责人进行监管，监管是否超过范围、权限；是否在法定依据之外增设其他条件；有无违反规定条件实施行政许可的情况及依法应当监督的其他内容。2.发现被检查站点设立有违法情形的，处责令限期改正外，应当依法采取补救措施；对健身气功站点设立违法行为予以立案查处，依法作出行政处罚决定；发现被检查人涉嫌犯罪的，及时移送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国家新闻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出版署</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自治区新闻出版局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出版物零售单位设立、变更审批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县级新闻出版部门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申请、审批全程网上办理，并在网上公布审批程序、受理条件、办理标准，公开办理进度。2.精简审批材料，推动在现获取核验营业执照、企业章程、经营场所情况及使用权证明、法定代表人及主要负责人身份证明等材料。3.将审批时限由20个工作日压减至13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1.开展“双随机、一公开”监管，发现违法违规行为要依法查处并公开结果。2.依法及时处理投诉举报。3.推进部门间信息共享应用。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国家烟草局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宁夏烟草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专卖局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烟草专卖零售许可证核发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卖零售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法》《中华人民共和国烟草专卖法实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设区的市、县级烟草部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将审批时限由15个工作日压减至8个工作日。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1.开展“双随机、一公开”监管，加强对持证主体合规经营的监管，发现违法违规行为要依法查处并公开结果。2.取缔无证经营主体。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国家电影局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自治区电影局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电音放映单位设立审批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映经营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《中华人民共和国电影产业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促进法》《电影管理条例》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县级电影主管部门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实行申请材料网上预审。</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1.开展“双随机、一公开”监管，畅通投诉举报渠道。2.发挥行业协会自律作用。</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6"/>
        <w:tblW w:w="14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716"/>
        <w:gridCol w:w="667"/>
        <w:gridCol w:w="817"/>
        <w:gridCol w:w="883"/>
        <w:gridCol w:w="1083"/>
        <w:gridCol w:w="712"/>
        <w:gridCol w:w="755"/>
        <w:gridCol w:w="669"/>
        <w:gridCol w:w="14"/>
        <w:gridCol w:w="700"/>
        <w:gridCol w:w="2617"/>
        <w:gridCol w:w="4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61"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原州区涉企经营许可事项改革清单（自治区层面设定，2021年版）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466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（共9项，其中在我区承接实施3项）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4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自治区民委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准营证核发</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清真食品准营证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《宁夏回族自治区清真食品管例》（2017年订）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市、县（市、区）民族事务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工作部门、行政审批部门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1.推动实现网上申请办理。2.持续压减审批时限，优化审批流程。3.营业执照、法定代表人（业主）身份证明等能通过信息共享平台在线获取的材料不再要求申请人提供。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清真食品监管联席会议机制，加强审批、日常监管、行政处罚等各环节及各部门的信息共享，提高监管效能。2.加强民族事务、市场监管、综合执法等部门的联合执法检查，提高协同监管效能。3.落实“双随机、一公开”抽查工作机制，实现常态化和信息全公开。4.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自治区粮食和储备局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储备粮储备资格认定</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储备粮（成品粮、食用油）承储资格认</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《宁夏回族自治区地方储备粮管理条例》（2015年修正）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级粮食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和储备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1.实现申请、审批全程网上办理。2.将审批时限由15个工作日压减至10个工作日。3.营业执照、法定代表人身份证明等能通过信息共享平台在线获取的材料不再要求申请人提供。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探索建立完善“红黑名单”制度和市场监管动态维护机制，加强部门协同监管。2.落实“双随机、一公开”抽查工作机制，推进宁夏粮食流通执法督察平台上线运行，实现“双随机”抽查常态化和抽查信息统一归集、全面公开。3.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利用湿地资源从事生产经营或者开展生态旅游活动的审批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地保护条例》（2018年）《宁夏回族自治区湿地公园管理办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法（试行）》（宁林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规发〔2019〕1号）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上人民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政府湿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事先申请、审批全程网上办理，由县级以上人民政府湿地管理部门审批。2.将审批时限由15个工作日压减至10个工作日。3.营业执照、法定代表人身份证明等能通过信息共享平台在线获取的材料不再要求申请人提供。4.在自治区及以上湿地公园内从事生产经营或者开展生态旅游活动，需符合湿地公园总体规划。</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双随机、一公开”抽查工作机制，加强利用湿地资源从事生产经营或者开展生态旅游活动单位的监督和管理。2.湿地公园管理机构负责湿地公园内生产经营或者生态旅游活动的日常管理。3.属地人民政府湿地管理部门对辖区一般湿地内从事生产经营或者开展生态旅游活动进行日常管理，并签订合同，明确不改变湿地属性或降低、破坏湿地质量和服务功能等事项。4.自治区湿地保护管理部门加强监督管理。</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footerReference r:id="rId3" w:type="default"/>
      <w:pgSz w:w="16838" w:h="11906" w:orient="landscape"/>
      <w:pgMar w:top="1800"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0">
              <wp:simplePos x="0" y="0"/>
              <wp:positionH relativeFrom="margin">
                <wp:align>outside</wp:align>
              </wp:positionH>
              <wp:positionV relativeFrom="paragraph">
                <wp:posOffset>0</wp:posOffset>
              </wp:positionV>
              <wp:extent cx="674370" cy="266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7437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1pt;width:53.1pt;mso-position-horizontal:outside;mso-position-horizontal-relative:margin;z-index:251659264;mso-width-relative:page;mso-height-relative:page;" filled="f" stroked="f" coordsize="21600,21600" o:allowoverlap="f" o:gfxdata="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og8WtMAAAAEAQAADwAAAAAAAAABACAAAAA4AAAAZHJzL2Rvd25yZXYueG1sUEsB&#10;AhQAFAAAAAgAh07iQBRpqDQdAgAAKQQAAA4AAAAAAAAAAQAgAAAAOAEAAGRycy9lMm9Eb2MueG1s&#10;UEsFBgAAAAAGAAYAWQEAAMc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06F8"/>
    <w:rsid w:val="009E6E80"/>
    <w:rsid w:val="149663E6"/>
    <w:rsid w:val="1EFF7A96"/>
    <w:rsid w:val="1FD5C200"/>
    <w:rsid w:val="1FFF0A31"/>
    <w:rsid w:val="255C55CB"/>
    <w:rsid w:val="371562DF"/>
    <w:rsid w:val="38F11539"/>
    <w:rsid w:val="39B61CB1"/>
    <w:rsid w:val="3BED1D9B"/>
    <w:rsid w:val="3BFF2806"/>
    <w:rsid w:val="3F3C6BB4"/>
    <w:rsid w:val="4B6D5F31"/>
    <w:rsid w:val="4FAC8E56"/>
    <w:rsid w:val="4FFBC13F"/>
    <w:rsid w:val="520D28F1"/>
    <w:rsid w:val="55EBEF29"/>
    <w:rsid w:val="581207CE"/>
    <w:rsid w:val="5D5EB855"/>
    <w:rsid w:val="5D78028B"/>
    <w:rsid w:val="67BBCBFF"/>
    <w:rsid w:val="694B06F8"/>
    <w:rsid w:val="6FEE0BE1"/>
    <w:rsid w:val="763FE0B4"/>
    <w:rsid w:val="777FD2B5"/>
    <w:rsid w:val="797D9E5F"/>
    <w:rsid w:val="7BAD7703"/>
    <w:rsid w:val="7BBFFA5A"/>
    <w:rsid w:val="7BF767E2"/>
    <w:rsid w:val="7BFF7840"/>
    <w:rsid w:val="7E5FCC67"/>
    <w:rsid w:val="7E9F1BC7"/>
    <w:rsid w:val="7FB775C5"/>
    <w:rsid w:val="7FDE4FF4"/>
    <w:rsid w:val="7FEFEBA7"/>
    <w:rsid w:val="7FFCFDA8"/>
    <w:rsid w:val="A7A7CBAB"/>
    <w:rsid w:val="AFD82A13"/>
    <w:rsid w:val="B91F5FCA"/>
    <w:rsid w:val="BBBFBF19"/>
    <w:rsid w:val="BEF4651A"/>
    <w:rsid w:val="BFFE4DA4"/>
    <w:rsid w:val="D9FE868E"/>
    <w:rsid w:val="DAFFBBE5"/>
    <w:rsid w:val="DBCFF13F"/>
    <w:rsid w:val="DD6C039E"/>
    <w:rsid w:val="DFD3CBA2"/>
    <w:rsid w:val="ECFE1E19"/>
    <w:rsid w:val="EF3F209E"/>
    <w:rsid w:val="EF3F4667"/>
    <w:rsid w:val="EFBB3F84"/>
    <w:rsid w:val="EFDD337D"/>
    <w:rsid w:val="F0BFDD79"/>
    <w:rsid w:val="F77BF429"/>
    <w:rsid w:val="F7FF2778"/>
    <w:rsid w:val="F7FF7F13"/>
    <w:rsid w:val="FA7FB5BE"/>
    <w:rsid w:val="FBF7C9DD"/>
    <w:rsid w:val="FFDD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ind w:firstLine="880" w:firstLineChars="200"/>
      <w:outlineLvl w:val="0"/>
    </w:pPr>
    <w:rPr>
      <w:rFonts w:ascii="Arial" w:hAnsi="Arial"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9">
    <w:name w:val="Body Text First Indent 21"/>
    <w:basedOn w:val="10"/>
    <w:qFormat/>
    <w:uiPriority w:val="0"/>
    <w:pPr>
      <w:spacing w:after="120" w:afterLines="0"/>
      <w:ind w:left="200" w:leftChars="200" w:firstLine="420" w:firstLineChars="200"/>
    </w:pPr>
    <w:rPr>
      <w:rFonts w:ascii="Times New Roman"/>
    </w:rPr>
  </w:style>
  <w:style w:type="paragraph" w:customStyle="1" w:styleId="10">
    <w:name w:val="Body Text Indent1"/>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2021-09-10T09:38:00Z</dcterms:created>
  <dc:creator>admin</dc:creator>
  <cp:lastModifiedBy>guyuan</cp:lastModifiedBy>
  <cp:lastPrinted>2021-09-10T03:53:00Z</cp:lastPrinted>
  <dcterms:modified xsi:type="dcterms:W3CDTF">2021-09-28T16:59:35Z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B93B4B7FBC434E58A8B0FD821DAD051D</vt:lpwstr>
  </property>
</Properties>
</file>