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60"/>
          <w:tab w:val="center" w:pos="4393"/>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eastAsia="方正小标宋_GBK"/>
          <w:color w:val="FF0000"/>
          <w:spacing w:val="100"/>
          <w:sz w:val="60"/>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hint="eastAsia" w:ascii="仿宋_GB2312" w:eastAsia="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6"/>
        <w:tblW w:w="14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721"/>
        <w:gridCol w:w="667"/>
        <w:gridCol w:w="1050"/>
        <w:gridCol w:w="1033"/>
        <w:gridCol w:w="1034"/>
        <w:gridCol w:w="1016"/>
        <w:gridCol w:w="784"/>
        <w:gridCol w:w="733"/>
        <w:gridCol w:w="700"/>
        <w:gridCol w:w="717"/>
        <w:gridCol w:w="2933"/>
        <w:gridCol w:w="2826"/>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84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原州区涉企经营许可事项改革清单（中央层面设定，2021年版）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760" w:hRule="atLeast"/>
          <w:jc w:val="center"/>
        </w:trPr>
        <w:tc>
          <w:tcPr>
            <w:tcW w:w="146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（共523项，其中在我区承接实施47项）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2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9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2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公安部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公安机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取消“典当业特种行业许可证核发”。</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1.加强部门间信息共享，省级地方金融监管部门在实施“设立典当行及分支机构审批”后及时将有关信息推送至公安机关，公安机关及时将典当行及其分支机构纳入监管范围。</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2.开展“双随机、一公开”监管，发现违法违规行为要依法查处并公开结果。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诊所设置审批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开办诊所不再向卫生健康部门申请办理设置审批，直接办理诊所执业备案。</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计划生育技术服务机构设立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生育技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术服务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取消“计划生育技术服务机构设立许可”，纳入“母婴保健专项技术服务许可”进行统一审批管理。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1.加强监督管理，发现违法违规行为要依法查处并公开结果。2.加强信用监管，将计划生育技术服务机构执业状况记入信用记录并依法向社会公布。3.依法及时处理投诉举报。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部分医疗机构（除三级医院、三级妇幼保健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院、急救中心、急救站、临床检验中心、中外合资合作医疗机构、港澳台独资医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疗机构外）《设置医疗机构批准书》核发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在草原上开展经营性旅游活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草原作业许可证（草原经营性旅游活动）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林草部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取消“在草原山开展经营性旅游活动审批”。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开展“双随机、一公开”监管，在草原征占用行为监管过程中，一并对有关经营性旅游活动进行检查，发现违法违规行为要依法查处并公开结果。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《医疗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取消对诊所执业的许可准入管理，改为备案管理。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旅馆业特种行业许可证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定》《旅馆业治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办法》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旅馆业特种行业应具备的条件和需提交的材料（包括房屋建筑、消防设备、出入口和通道等符合《中华人民共和国消防法》等规定，具备必要的防盗安全设施）。申请人承诺符合条件并提交材料的，当场作出审批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公章刻制业特种行业许可证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需保留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目设定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定》《印铸刻字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业暂行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县级公</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公章刻制业特种行业应具备的条件和需提交的材料（包括申请登记表、像片、略图、名册）。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公</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安</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自治区公安厅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息网络安全审核</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批准文件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市、县级公安机关</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制作并公布告知承诺书格式文本，一次性告知申请人申办互联网上网服务营业场所信息网络安全审核应具备的条件和需提交的材料。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对承诺内容真实性的核查，发现虚假承诺、承诺严重不实的要依法处理。2.开展“双随机、一公开”监管，合理确定抽查比例，依法查处违法违规行为。3.加强信用监管，建立从业人员信用记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财</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政</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自治区财政厅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中介机构从事代理记账业务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代理记账许可证书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计法》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财政部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以告知承诺形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民办职业培训学校设立、分立、合并、变更及终止审批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r>
              <w:rPr>
                <w:rFonts w:hint="default" w:ascii="仿宋_GB2312" w:hAnsi="宋体" w:eastAsia="仿宋_GB2312" w:cs="仿宋_GB2312"/>
                <w:i w:val="0"/>
                <w:color w:val="000000"/>
                <w:kern w:val="0"/>
                <w:sz w:val="20"/>
                <w:szCs w:val="20"/>
                <w:u w:val="none"/>
                <w:lang w:val="en" w:eastAsia="zh-CN" w:bidi="ar"/>
              </w:rPr>
              <w:t>中华人民共和国民办教育促进法</w:t>
            </w:r>
            <w:r>
              <w:rPr>
                <w:rFonts w:hint="eastAsia" w:ascii="仿宋_GB2312" w:hAnsi="宋体" w:eastAsia="仿宋_GB2312" w:cs="仿宋_GB2312"/>
                <w:i w:val="0"/>
                <w:color w:val="000000"/>
                <w:kern w:val="0"/>
                <w:sz w:val="20"/>
                <w:szCs w:val="20"/>
                <w:u w:val="none"/>
                <w:lang w:val="en-US" w:eastAsia="zh-CN" w:bidi="ar"/>
              </w:rPr>
              <w:t>》《中华人民共和国民办教育促进法实施条例》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1.对按照告知承诺制审批的学校实行全覆盖例行检查，发现实际情况与承诺内容不符的，依法撤销审批并从重处罚。2.加强日常监管和年检，依法公开检查结果。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《中华人民共和国就业促进法》《人力资源市场暂行条例》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县级以上地方人力资源社会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1.开展“双随机、一公开”监管，发现违法违规行为要依法查处并公开结果。2.加强信用监管，依法向社会公布人力资源服务机构信用状况，依法依规对失信主体开展失信惩戒。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住房城乡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自治区住房城乡建设厅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从事生活垃圾（含粪便）经营性清扫、收集、运输、处理服务许可证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《国务院对确需保留的行政审批项目设定行政许可的决定》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县级以上地方住房城乡建设（境生）部门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国家卫生健康委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《公共场所卫生管理条例》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1.开展“双随机、一公开”监管，发现违法违规行为要依法查处并公开结果。2.加强信用监管，依法向社会公布卫生状况存在严重问题的公共场所信息。3.畅通投诉举报渠道，依法及时处理投诉举报。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安全检查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公众聚集场所投入使用、营业前消防安全检查意见书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设区的市、县消防救援机构</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林草种子（普通）生产经营许可证核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林草种子生产经营许可证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县级以上地方林草部门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制作并公布告知承诺书格式文本，一次性告知申请人许可条件和所需材料。对申请人自愿承诺符合许可条件并按要求提交材料的，当场作出许可决定。</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教</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育</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自治区教育厅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实施中等及中等以下学历教育、学前教育、自学考试助学及其他文化教育的民办学校设立、变更和终止审批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中华人民共和国民办学校办学许可证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《中华人民共和国民办教育促进法》《中华人民共和国民办教育促进法实施条例》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县级以上地方教育部门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水</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利</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自治区水利厅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《中华人民共和国水法》《取水许可和水资源费征收管理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流域管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理机构；县级以上地方水利部门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对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人力资源社会保障部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自治区人力资源社会保障厅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劳务派遣经营许可证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动合同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人力资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源社会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保障部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1.开展“双随机、一公开”监管，发现违法违规行为要依法查处。2.加强信用监管，依法向社会公布劳务派遣企业信用状况，依法依规对失信主体开展失信惩戒。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收购站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生鲜乳收购许可证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《乳品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质量安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全监督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业农村（畜牧</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兽医）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1.开展“双随机、一公开”监管，发现违法违规行为要依法查处并公开结果。2.加强对生鲜乳收购站的监管，将其全部纳入监管监测信息系统，实时掌握收购、运营情况。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种子、食用菌菌种生产经营许可证核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农作物种子、食用菌菌种生产经营许可证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和国种</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子法》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种畜禽生产经营许可证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蜂种生产经营许可证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蚕种生产经营许可证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牧法》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兽药经营许可证核发（非生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物制类）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将审批时限由30个工作日压减至20个工作日。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1.开展“双随机、一公开”监管，发现违法违规行为要依法查处并公开查处结果。2.对风险等级高的领域、投诉举报多的企业增加监督检查次数和抽检兽药数量，实施重点监管。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2.不再要求申请人同时提供申请材料的纸质文件和电子文档。</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物防疫</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1.实现申请、审批网上办理。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2.将审批时限由20个工作日压减至15个工作日。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渔业捕捞许可证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1.实现全国一网通办。2.对能够通过有关信息系统或者部门间信息共享核查的证明材料，不再要求申请人提供。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1.开展“双随机、一公开”监管，发现违法违规行为要依法查处并公开查处结果。2.强化社会监督，依法及时处理投诉举报，调查处理结果向社会公开。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水域滩涂养殖证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府</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农业农村部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自治区农业农村厅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种场（不含原种场）的水产苗种生产许可证核发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水产苗种生产许可证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市、县级农业农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村（渔业）部门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1.实现全国一网通办，申请人“最多跑一次”。2.不再要求申请人提供营业执照、法定代表人身份证等材料，通过部门间信息共享获取相关信息。</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营单位设立审批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网络文化经营许可证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网上网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服务营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业场所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文化和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旅游部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2.取消对互联网上网服务营业场所的计算机数量限制。3.不再要求申请人提供资金信用证明等材料。4.将审批时限由20个工作日压减至10个工作日。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1.取消总量限制和布局要求。</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场所管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文化和旅游部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自治区文化和旅游厅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文艺表演团体设立审批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性演出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管理条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化和旅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游部门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1.实现申请、审批全程网上办理。2.将审批时限由20个工作日压减至10个工作日。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饮用水供水单位卫生许可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人民共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和国传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染病防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治法》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不再要求申请人提供从业人员健康体检合格证明。</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1.开展“双随机、一公开”监管，发现违法违规行为要依法查处。2.强化部门协同监管，卫生健康部门向供水主管部门通报饮用水供水单位监督检查情况。3.畅通投诉举报渠道，依法及时处理投诉举报，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放射源诊疗技术和医用辐射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机构许可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放射诊疗许可证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《中华人民共和国职业病防</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治法》《放射性同位</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素与射线装置安全和防护条例》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卫生健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将审批时限由20 个工作日压减至10个工作日，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母婴保健专项技术服务许可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《中华人民共和国母婴保健</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法》《中华人民共和国母婴保健法实施法》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将开展婚前医学检查、产前筛查的母婴保健专项技术服务机构的审批权限下放至县级卫生健康部门。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构（三级医院、三级妇幼保健院、急救中心、急救站、临床检验中心、中外合资合作医疗机构、港澳台独资医疗机构）设置审批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设置医疗机构批准书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加快推广电子化审批。</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国家卫生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健康委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自治区卫生健康委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构（不含诊所）执业登记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医疗机构执业许可证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县级以上地方卫生健康部门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1.取消医疗机构验资证明。2.实现医疗机构电子化注册登记。</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烟花爆竹经营（零售）许可证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优化审批流程，实现申请、审批“一网通办”和“不见面、马上办”。2.精简申请材料，压缩审批时限。取消兜底性表述，将应急预案备案、安全生产费用提取备案、主要负责人和安全管理人员合格证等材料调整为内部核查，承诺办结时限压缩至7个工作日。3.实行“一张清单”。依托宁夏政务服务网，向社会公开事项办理审查工作细则，公开办理方式、时限、条件、依据等要素。</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烟花爆竹经营（零售）企业信用状况，对失信主体开展联合惩戒。3.建立审管衔接机制，7个工作日内落实公示公开，并告知事中事后监管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应急管理部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自治区应急厅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市、县级应急管理部门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依托宁夏行政审批与公共服务系统、宁夏投资项目在线审批监管平台以及“我的宁夏”政务APP客户端，为企业和群众办事提供统一的网上申办服务渠道，真正实现“一网通办”。2.压缩审批时限，由30个工作日压减至10个工作日内办结，部分变更事项调整为即办件办理。3.取消企业主要负责人、安全生产管理人员、特种作业人员、其他从业人员相关资格证书等材料，调整为内部核查。4.取消重大危险源、应急预案备案证明等材料。5.对不构成重大危险源的危险化学品经营企业，包括专门从事危险化学品仓储经营、带有储存设施经营危险化学品的企业，在申请危险化学品经营许可证和延期换证时，不再要求其提交安全评价报告等文件资料。</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加强信用监管，加强执法监督，向社会公布危险化学品经营企业信用状况，对失信主体开展联合惩戒。3.建立审管衔接机制，7个工作日内落实公示公开，并告知事中事后监管责任部门。4.定期对企业进行专家指导服务，协助做好整改落实，主动对接行政审批机关并反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《全民健身条例》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市、县（区）体育部门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定期对全区高危险性体育项目经营场所进行检查，对检查发现的问题责令整改。2.建立健全跨区域、跨层级、跨部门协同监管制度，联合文化旅游等部门，进一步推进联合执法。3.加强信用监管，将有严重违法违规行为的企业和体育从业人员列入体育市场黑名单，对其实施信用约束和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体育总局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自治区体育局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设立健身气功站点审批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健身气功站点注册证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审批项目设定行政许可的决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县级体育部门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重点对健身气功站点负责人进行监管，监管是否超过范围、权限；是否在法定依据之外增设其他条件；有无违反规定条件实施行政许可的情况及依法应当监督的其他内容。2.发现被检查站点设立有违法情形的，处责令限期改正外，应当依法采取补救措施；对健身气功站点设立违法行为予以立案查处，依法作出行政处罚决定；发现被检查人涉嫌犯罪的，及时移送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国家新闻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出版署</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自治区新闻出版局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出版物零售单位设立、变更审批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出版物经营许可证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县级新闻出版部门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申请、审批全程网上办理，并在网上公布审批程序、受理条件、办理标准，公开办理进度。2.精简审批材料，推动在现获取核验营业执照、企业章程、经营场所情况及使用权证明、法定代表人及主要负责人身份证明等材料。3.将审批时限由20个工作日压减至13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1.开展“双随机、一公开”监管，发现违法违规行为要依法查处并公开结果。2.依法及时处理投诉举报。3.推进部门间信息共享应用。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国家主管部门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省级主管部门</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9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28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9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3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国家烟草局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宁夏烟草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专卖局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烟草专卖零售许可证核发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烟草专</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卖零售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法》《中华人民共和国烟草专卖法实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施条例》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设区的市、县级烟草部</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将审批时限由15个工作日压减至8个工作日。</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1.开展“双随机、一公开”监管，加强对持证主体合规经营的监管，发现违法违规行为要依法查处并公开结果。2.取缔无证经营主体。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国家电影局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自治区电影局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电音放映单位设立审批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映经营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许可证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《中华人民共和国电影产业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促进法》《电影管理条例》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县级电影主管部门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实行申请材料网上预审。</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1.开展“双随机、一公开”监管，畅通投诉举报渠道。2.发挥行业协会自律作用。</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6"/>
        <w:tblW w:w="14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716"/>
        <w:gridCol w:w="667"/>
        <w:gridCol w:w="817"/>
        <w:gridCol w:w="883"/>
        <w:gridCol w:w="1083"/>
        <w:gridCol w:w="712"/>
        <w:gridCol w:w="755"/>
        <w:gridCol w:w="669"/>
        <w:gridCol w:w="14"/>
        <w:gridCol w:w="700"/>
        <w:gridCol w:w="2617"/>
        <w:gridCol w:w="4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61"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原州区涉企经营许可事项改革清单（自治区层面设定，2021年版）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466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（共9项，其中在我区承接实施3项）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4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自治区民委</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准营证核发</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清真食品准营证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《宁夏回族自治区清真食品管例》（2017年订）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市、县（市、区）民族事务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工作部门、行政审批部门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1.推动实现网上申请办理。2.持续压减审批时限，优化审批流程。3.营业执照、法定代表人（业主）身份证明等能通过信息共享平台在线获取的材料不再要求申请人提供。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完善清真食品监管联席会议机制，加强审批、日常监管、行政处罚等各环节及各部门的信息共享，提高监管效能。2.加强民族事务、市场监管、综合执法等部门的联合执法检查，提高协同监管效能。3.落实“双随机、一公开”抽查工作机制，实现常态化和信息全公开。4.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
              </w:rPr>
            </w:pPr>
            <w:r>
              <w:rPr>
                <w:rFonts w:hint="eastAsia" w:ascii="仿宋_GB2312" w:hAnsi="宋体" w:eastAsia="仿宋_GB2312" w:cs="仿宋_GB2312"/>
                <w:i w:val="0"/>
                <w:color w:val="000000"/>
                <w:kern w:val="0"/>
                <w:sz w:val="20"/>
                <w:szCs w:val="20"/>
                <w:u w:val="none"/>
                <w:lang w:val="en-US" w:eastAsia="zh-CN" w:bidi="ar"/>
              </w:rPr>
              <w:t>自治区</w:t>
            </w:r>
            <w:bookmarkStart w:id="0" w:name="_GoBack"/>
            <w:bookmarkEnd w:id="0"/>
            <w:r>
              <w:rPr>
                <w:rFonts w:hint="default" w:ascii="仿宋_GB2312" w:hAnsi="宋体" w:eastAsia="仿宋_GB2312" w:cs="仿宋_GB2312"/>
                <w:i w:val="0"/>
                <w:color w:val="000000"/>
                <w:kern w:val="0"/>
                <w:sz w:val="20"/>
                <w:szCs w:val="20"/>
                <w:u w:val="none"/>
                <w:lang w:val="en" w:eastAsia="zh-CN" w:bidi="ar"/>
              </w:rPr>
              <w:t>粮食和物资储备局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储备粮储备资格认定</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储备粮（成品粮、食用油）承储资格认</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《宁夏回族自治区地方储备粮管理条例》（2015年修正）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设区的市、县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级粮食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和储备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1.实现申请、审批全程网上办理。2.将审批时限由15个工作日压减至10个工作日。3.营业执照、法定代表人身份证明等能通过信息共享平台在线获取的材料不再要求申请人提供。</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探索建立完善“红黑名单”制度和市场监管动态维护机制，加强部门协同监管。2.落实“双随机、一公开”抽查工作机制，推进宁夏粮食流通执法督察平台上线运行，实现“双随机”抽查常态化和抽查信息统一归集、全面公开。3.加强信用监管，向社会公布企业信用状况，对失信主体开展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序号</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省级主管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6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改革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事项</w:t>
            </w:r>
          </w:p>
        </w:tc>
        <w:tc>
          <w:tcPr>
            <w:tcW w:w="8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许可证件名称</w:t>
            </w:r>
          </w:p>
        </w:tc>
        <w:tc>
          <w:tcPr>
            <w:tcW w:w="8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设定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依据</w:t>
            </w:r>
          </w:p>
        </w:tc>
        <w:tc>
          <w:tcPr>
            <w:tcW w:w="10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层级和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w:t>
            </w:r>
          </w:p>
        </w:tc>
        <w:tc>
          <w:tcPr>
            <w:tcW w:w="2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黑体" w:hAnsi="宋体" w:eastAsia="黑体" w:cs="黑体"/>
                <w:i w:val="0"/>
                <w:color w:val="000000"/>
                <w:kern w:val="0"/>
                <w:sz w:val="22"/>
                <w:szCs w:val="22"/>
                <w:u w:val="none"/>
                <w:lang w:val="en-US" w:eastAsia="zh-CN" w:bidi="ar"/>
              </w:rPr>
              <w:t>改革方式</w:t>
            </w:r>
          </w:p>
        </w:tc>
        <w:tc>
          <w:tcPr>
            <w:tcW w:w="2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具体改革举措</w:t>
            </w:r>
          </w:p>
        </w:tc>
        <w:tc>
          <w:tcPr>
            <w:tcW w:w="4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6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6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直接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取消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改为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备案</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实行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告知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承诺</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2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4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自治区林草局</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利用湿地资源从事生产经营或者开展生态旅游活动的审批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《宁夏回族自治区湿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地保护条例》（2018年）《宁夏回族自治区湿地公园管理办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法（试行）》（宁林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规发〔2019〕1号）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上人民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政府湿</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地管理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部门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事先申请、审批全程网上办理，由县级以上人民政府湿地管理部门审批。2.将审批时限由15个工作日压减至10个工作日。3.营业执照、法定代表人身份证明等能通过信息共享平台在线获取的材料不再要求申请人提供。4.在自治区及以上湿地公园内从事生产经营或者开展生态旅游活动，需符合湿地公园总体规划。</w:t>
            </w:r>
          </w:p>
        </w:tc>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双随机、一公开”抽查工作机制，加强利用湿地资源从事生产经营或者开展生态旅游活动单位的监督和管理。2.湿地公园管理机构负责湿地公园内生产经营或者生态旅游活动的日常管理。3.属地人民政府湿地管理部门对辖区一般湿地内从事生产经营或者开展生态旅游活动进行日常管理，并签订合同，明确不改变湿地属性或降低、破坏湿地质量和服务功能等事项。4.自治区湿地保护管理部门加强监督管理。</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footerReference r:id="rId3" w:type="default"/>
      <w:pgSz w:w="16838" w:h="11906" w:orient="landscape"/>
      <w:pgMar w:top="1800"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0">
              <wp:simplePos x="0" y="0"/>
              <wp:positionH relativeFrom="margin">
                <wp:align>outside</wp:align>
              </wp:positionH>
              <wp:positionV relativeFrom="paragraph">
                <wp:posOffset>0</wp:posOffset>
              </wp:positionV>
              <wp:extent cx="674370" cy="266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7437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1pt;width:53.1pt;mso-position-horizontal:outside;mso-position-horizontal-relative:margin;z-index:251659264;mso-width-relative:page;mso-height-relative:page;" filled="f" stroked="f" coordsize="21600,21600" o:allowoverlap="f" o:gfxdata="UEsFBgAAAAAAAAAAAAAAAAAAAAAAAFBLAwQKAAAAAACHTuJAAAAAAAAAAAAAAAAABAAAAGRycy9Q&#10;SwMEFAAAAAgAh07iQEaIPFrTAAAABAEAAA8AAABkcnMvZG93bnJldi54bWxNjztPxDAQhHsk/oO1&#10;SHScnQidUIhzBY+O5wESdE68JBH2OrI3uePf46OBZqXRjGa+rTd778SCMY2BNBQrBQKpC3akXsPr&#10;y+3ZBYjEhqxxgVDDNybYNMdHtals2NEzLlvuRS6hVBkNA/NUSZm6Ab1JqzAhZe8zRG84y9hLG80u&#10;l3snS6XW0puR8sJgJrwasPvazl6De0/xrlX8sVz39/z0KOe3m+JB69OTQl2CYNzzXxgO+BkdmszU&#10;hplsEk5DfoR/78FT6xJEq+G8VCCbWv6Hb34AUEsDBBQAAAAIAIdO4kAUaag0HQIAACkEAAAOAAAA&#10;ZHJzL2Uyb0RvYy54bWytU02O0zAY3SNxB8t7mrYDLaqajsqMipAqZqSCWLuO3URybGO7TcoB4Aas&#10;2LDnXD0Hz27SImCF2Dif/f2/9zK/bWtFDsL5yuicjgZDSoTmpqj0Lqfv362evaTEB6YLpowWOT0K&#10;T28XT5/MGzsTY1MaVQhHUET7WWNzWoZgZ1nmeSlq5gfGCg2nNK5mAVe3ywrHGlSvVTYeDidZY1xh&#10;neHCe7zen510kepLKXh4kNKLQFROMVtIp0vnNp7ZYs5mO8dsWfFuDPYPU9Ss0mh6KXXPAiN7V/1R&#10;qq64M97IMOCmzoyUFRdpB2wzGv62zaZkVqRdAI63F5j8/yvL3x4eHakKcEeJZjUoOn39cvr24/T9&#10;MxlFeBrrZ4jaWMSF9pVpcxrcXvQuj/e4eCtdHb9YiSAEWB8v+Io2EI7HyfT5zRQeDtd4MpkOE/7Z&#10;Ndk6H14LU5No5NSBvoQqO6x9wCwI7UNiL21WlVKJQqVJgwY3L4Yp4eJBhtJIjFucR41WaLdtt9rW&#10;FEds5sxZGt7yVYXma+bDI3PQAuaFvsMDDqkMmpjOoqQ07tPf3mM8KIKXkgbayqn/uGdOUKLeaJAX&#10;hdgbrje2vaH39Z2BXEEIpkkmElxQvSmdqT9A9svYRTLlUZhpjn6gpjfvAm6dE78PF8vl5b63rtqV&#10;12RI0bKw1hvLO3LP6C73wcgqAR9RO0PVgQk9Jj66fycK/td7irr+4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og8WtMAAAAEAQAADwAAAAAAAAABACAAAAA4AAAAZHJzL2Rvd25yZXYueG1sUEsB&#10;AhQAFAAAAAgAh07iQBRpqDQdAgAAKQQAAA4AAAAAAAAAAQAgAAAAOAEAAGRycy9lMm9Eb2MueG1s&#10;UEsFBgAAAAAGAAYAWQEAAMc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rPr>
                      <w:fldChar w:fldCharType="begin"/>
                    </w:r>
                    <w:r>
                      <w:rPr>
                        <w:rFonts w:hint="eastAsia" w:asciiTheme="minorEastAsia" w:hAnsiTheme="minorEastAsia" w:cstheme="minorEastAsia"/>
                        <w:b w:val="0"/>
                        <w:bCs w:val="0"/>
                        <w:sz w:val="28"/>
                        <w:szCs w:val="28"/>
                      </w:rPr>
                      <w:instrText xml:space="preserve"> PAGE  \* MERGEFORMAT </w:instrText>
                    </w:r>
                    <w:r>
                      <w:rPr>
                        <w:rFonts w:hint="eastAsia" w:asciiTheme="minorEastAsia" w:hAnsiTheme="minorEastAsia" w:cstheme="minorEastAsia"/>
                        <w:b w:val="0"/>
                        <w:bCs w:val="0"/>
                        <w:sz w:val="28"/>
                        <w:szCs w:val="28"/>
                      </w:rPr>
                      <w:fldChar w:fldCharType="separate"/>
                    </w:r>
                    <w:r>
                      <w:rPr>
                        <w:rFonts w:hint="eastAsia" w:asciiTheme="minorEastAsia" w:hAnsiTheme="minorEastAsia" w:cstheme="minorEastAsia"/>
                        <w:b w:val="0"/>
                        <w:bCs w:val="0"/>
                        <w:sz w:val="28"/>
                        <w:szCs w:val="28"/>
                      </w:rPr>
                      <w:t>1</w:t>
                    </w:r>
                    <w:r>
                      <w:rPr>
                        <w:rFonts w:hint="eastAsia" w:asciiTheme="minorEastAsia" w:hAnsiTheme="minorEastAsia" w:cstheme="minorEastAsia"/>
                        <w:b w:val="0"/>
                        <w:bCs w:val="0"/>
                        <w:sz w:val="28"/>
                        <w:szCs w:val="28"/>
                      </w:rPr>
                      <w:fldChar w:fldCharType="end"/>
                    </w:r>
                    <w:r>
                      <w:rPr>
                        <w:rFonts w:hint="eastAsia" w:asciiTheme="minorEastAsia" w:hAnsi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06F8"/>
    <w:rsid w:val="009E6E80"/>
    <w:rsid w:val="149663E6"/>
    <w:rsid w:val="1EFF7A96"/>
    <w:rsid w:val="1FD5C200"/>
    <w:rsid w:val="1FFF0A31"/>
    <w:rsid w:val="255C55CB"/>
    <w:rsid w:val="371562DF"/>
    <w:rsid w:val="38F11539"/>
    <w:rsid w:val="39B61CB1"/>
    <w:rsid w:val="3BED1D9B"/>
    <w:rsid w:val="3BFF2806"/>
    <w:rsid w:val="3F3C6BB4"/>
    <w:rsid w:val="4B6D5F31"/>
    <w:rsid w:val="4FAC8E56"/>
    <w:rsid w:val="4FFBC13F"/>
    <w:rsid w:val="520D28F1"/>
    <w:rsid w:val="55EBEF29"/>
    <w:rsid w:val="581207CE"/>
    <w:rsid w:val="5D5EB855"/>
    <w:rsid w:val="5D78028B"/>
    <w:rsid w:val="65F72730"/>
    <w:rsid w:val="67BBCBFF"/>
    <w:rsid w:val="694B06F8"/>
    <w:rsid w:val="6FEE0BE1"/>
    <w:rsid w:val="763FE0B4"/>
    <w:rsid w:val="777FD2B5"/>
    <w:rsid w:val="797D9E5F"/>
    <w:rsid w:val="7BAD7703"/>
    <w:rsid w:val="7BBFFA5A"/>
    <w:rsid w:val="7BF767E2"/>
    <w:rsid w:val="7BFF7840"/>
    <w:rsid w:val="7E5FCC67"/>
    <w:rsid w:val="7E9F1BC7"/>
    <w:rsid w:val="7FB775C5"/>
    <w:rsid w:val="7FDE4FF4"/>
    <w:rsid w:val="7FEFEBA7"/>
    <w:rsid w:val="7FFCFDA8"/>
    <w:rsid w:val="A7A7CBAB"/>
    <w:rsid w:val="AFD82A13"/>
    <w:rsid w:val="B91F5FCA"/>
    <w:rsid w:val="BBBFBF19"/>
    <w:rsid w:val="BEF4651A"/>
    <w:rsid w:val="BFFE4DA4"/>
    <w:rsid w:val="D9FE868E"/>
    <w:rsid w:val="DAFFBBE5"/>
    <w:rsid w:val="DBCFF13F"/>
    <w:rsid w:val="DD6C039E"/>
    <w:rsid w:val="DFD3CBA2"/>
    <w:rsid w:val="ECFE1E19"/>
    <w:rsid w:val="EF3F209E"/>
    <w:rsid w:val="EF3F4667"/>
    <w:rsid w:val="EF52CDEA"/>
    <w:rsid w:val="EFBB3F84"/>
    <w:rsid w:val="EFDD337D"/>
    <w:rsid w:val="F0BFDD79"/>
    <w:rsid w:val="F77BF429"/>
    <w:rsid w:val="F7FF2778"/>
    <w:rsid w:val="F7FF7F13"/>
    <w:rsid w:val="FA7FB5BE"/>
    <w:rsid w:val="FBF7C9DD"/>
    <w:rsid w:val="FFDD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ind w:firstLine="880" w:firstLineChars="200"/>
      <w:outlineLvl w:val="0"/>
    </w:pPr>
    <w:rPr>
      <w:rFonts w:ascii="Arial" w:hAnsi="Arial"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9">
    <w:name w:val="Body Text First Indent 21"/>
    <w:basedOn w:val="10"/>
    <w:qFormat/>
    <w:uiPriority w:val="0"/>
    <w:pPr>
      <w:spacing w:after="120" w:afterLines="0"/>
      <w:ind w:left="200" w:leftChars="200" w:firstLine="420" w:firstLineChars="200"/>
    </w:pPr>
    <w:rPr>
      <w:rFonts w:ascii="Times New Roman"/>
    </w:rPr>
  </w:style>
  <w:style w:type="paragraph" w:customStyle="1" w:styleId="10">
    <w:name w:val="Body Text Indent1"/>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2021-09-11T01:38:00Z</dcterms:created>
  <dc:creator>admin</dc:creator>
  <cp:lastModifiedBy>guyuan</cp:lastModifiedBy>
  <cp:lastPrinted>2021-09-10T19:53:00Z</cp:lastPrinted>
  <dcterms:modified xsi:type="dcterms:W3CDTF">2023-02-13T14:23:30Z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B93B4B7FBC434E58A8B0FD821DAD051D</vt:lpwstr>
  </property>
</Properties>
</file>