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djustRightInd w:val="0"/>
        <w:spacing w:line="560" w:lineRule="exact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填报单位：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      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原州区司法局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         </w:t>
      </w:r>
      <w:r>
        <w:rPr>
          <w:rFonts w:hint="eastAsia" w:ascii="仿宋_GB2312" w:eastAsia="仿宋_GB2312" w:cs="仿宋_GB2312"/>
          <w:sz w:val="32"/>
          <w:szCs w:val="32"/>
        </w:rPr>
        <w:t>   单位：元、个、人、辆</w:t>
      </w:r>
    </w:p>
    <w:tbl>
      <w:tblPr>
        <w:tblStyle w:val="3"/>
        <w:tblW w:w="9000" w:type="dxa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3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项    目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pacing w:line="560" w:lineRule="exact"/>
              <w:rPr>
                <w:rFonts w:asci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sz w:val="32"/>
                <w:szCs w:val="32"/>
              </w:rPr>
              <w:t>三公经费支出合计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pacing w:line="560" w:lineRule="exact"/>
              <w:ind w:firstLine="1440" w:firstLineChars="450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119257.32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pacing w:line="56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1、因公出国（境）费用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pacing w:line="56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2、公务接待费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1403.80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pacing w:line="560" w:lineRule="exact"/>
              <w:ind w:firstLine="160" w:firstLineChars="50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其中：（1）公务接待批次（个）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 xml:space="preserve">      （2）公务接待人次（人）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pacing w:line="56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3、公务用车费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117853.52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pacing w:line="560" w:lineRule="exact"/>
              <w:ind w:firstLine="160" w:firstLineChars="50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其中：（1）公务用车运行维护费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pacing w:line="560" w:lineRule="exact"/>
              <w:jc w:val="both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117853.52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pacing w:line="560" w:lineRule="exact"/>
              <w:ind w:firstLine="960" w:firstLineChars="300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（2）公务用车购置费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pacing w:line="560" w:lineRule="exact"/>
              <w:jc w:val="both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pacing w:line="560" w:lineRule="exact"/>
              <w:ind w:firstLine="960" w:firstLineChars="300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（3）公务用车购置数量（辆）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pacing w:line="560" w:lineRule="exact"/>
              <w:jc w:val="both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pacing w:line="560" w:lineRule="exact"/>
              <w:ind w:firstLine="960" w:firstLineChars="300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（4）公务用车保有量（辆）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pacing w:line="560" w:lineRule="exact"/>
              <w:jc w:val="both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0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pacing w:line="560" w:lineRule="exac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4、“三公”经费增减变化原因说明：</w:t>
            </w:r>
          </w:p>
        </w:tc>
      </w:tr>
    </w:tbl>
    <w:p/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情况说明：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有车辆共计15辆，其中，公务用车1辆，执法执勤车辆14辆。在填报2016年决算报表时将公务用车2016年共产生运行维护费用26772.24元，列支为“公务用车运行维护费”，执法执勤车辆2016年共产生运行维护费用91081.28元，在“其他商品和服务支出”科目列支。在2016年决算补充公开时将此两项费用合并在“公务用车运行维护费”中统计，共计117853.52元，特此说明。</w:t>
      </w:r>
      <w:bookmarkStart w:id="0" w:name="_GoBack"/>
      <w:bookmarkEnd w:id="0"/>
    </w:p>
    <w:p>
      <w:pPr>
        <w:wordWrap w:val="0"/>
        <w:adjustRightInd w:val="0"/>
        <w:spacing w:line="560" w:lineRule="exact"/>
        <w:jc w:val="both"/>
        <w:rPr>
          <w:rFonts w:hint="eastAsia" w:asci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235D5"/>
    <w:rsid w:val="0CB235D5"/>
    <w:rsid w:val="4DFD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2018-11-20T02:21:00Z</dcterms:created>
  <dc:creator>Administrator</dc:creator>
  <cp:lastModifiedBy>Administrator</cp:lastModifiedBy>
  <dcterms:modified xsi:type="dcterms:W3CDTF">2018-11-20T02:30:19Z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