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center"/>
        <w:rPr>
          <w:rFonts w:hint="eastAsia" w:ascii="宋体" w:hAnsi="宋体" w:eastAsia="宋体" w:cs="宋体"/>
          <w:b/>
          <w:bCs/>
          <w:sz w:val="44"/>
          <w:szCs w:val="44"/>
        </w:rPr>
      </w:pPr>
      <w:r>
        <w:rPr>
          <w:rFonts w:hint="eastAsia" w:ascii="宋体" w:hAnsi="宋体" w:eastAsia="宋体" w:cs="宋体"/>
          <w:b/>
          <w:bCs/>
          <w:spacing w:val="6"/>
          <w:sz w:val="44"/>
          <w:szCs w:val="44"/>
        </w:rPr>
        <w:t>固原市原州区综合执法局本级2024年部门预算</w:t>
      </w:r>
    </w:p>
    <w:p>
      <w:pPr>
        <w:jc w:val="left"/>
      </w:pPr>
      <w:r>
        <w:br w:type="page"/>
      </w:r>
    </w:p>
    <w:p>
      <w:pPr>
        <w:jc w:val="left"/>
        <w:rPr>
          <w:rFonts w:hint="eastAsia"/>
        </w:rPr>
      </w:pPr>
    </w:p>
    <w:p>
      <w:pPr>
        <w:jc w:val="left"/>
        <w:rPr>
          <w:rFonts w:hint="eastAsia"/>
        </w:rPr>
      </w:pPr>
    </w:p>
    <w:p>
      <w:pPr>
        <w:jc w:val="center"/>
        <w:rPr>
          <w:b/>
          <w:bCs/>
          <w:sz w:val="44"/>
          <w:szCs w:val="44"/>
        </w:rPr>
      </w:pPr>
      <w:r>
        <w:rPr>
          <w:rFonts w:hint="eastAsia"/>
          <w:b/>
          <w:bCs/>
          <w:sz w:val="44"/>
          <w:szCs w:val="44"/>
        </w:rPr>
        <w:t>目录</w:t>
      </w:r>
    </w:p>
    <w:p>
      <w:pPr>
        <w:keepNext w:val="0"/>
        <w:keepLines w:val="0"/>
        <w:pageBreakBefore w:val="0"/>
        <w:widowControl/>
        <w:kinsoku/>
        <w:wordWrap/>
        <w:overflowPunct/>
        <w:topLinePunct w:val="0"/>
        <w:autoSpaceDE/>
        <w:autoSpaceDN/>
        <w:bidi w:val="0"/>
        <w:adjustRightInd/>
        <w:snapToGrid/>
        <w:spacing w:line="560" w:lineRule="exact"/>
        <w:ind w:left="0" w:firstLine="675" w:firstLineChars="200"/>
        <w:jc w:val="both"/>
        <w:textAlignment w:val="auto"/>
        <w:outlineLvl w:val="1"/>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第一部分  单位概况</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560" w:lineRule="exact"/>
        <w:ind w:left="0" w:firstLine="675" w:firstLineChars="200"/>
        <w:jc w:val="both"/>
        <w:textAlignment w:val="auto"/>
        <w:outlineLvl w:val="1"/>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第二部分  2024年部门预算表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一、财政拨款收支预算总表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二、一般公共预算财政拨款支出表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三、一般公共预算财政拨款基本支出表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四、一般公共预算财政拨款“三公”经费支出表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五、政府性基金预算财政拨款支出表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六、部门收支总表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七、部门收入总表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八、部门支出总表</w:t>
      </w:r>
    </w:p>
    <w:p>
      <w:pPr>
        <w:keepNext w:val="0"/>
        <w:keepLines w:val="0"/>
        <w:pageBreakBefore w:val="0"/>
        <w:widowControl/>
        <w:kinsoku/>
        <w:wordWrap/>
        <w:overflowPunct/>
        <w:topLinePunct w:val="0"/>
        <w:autoSpaceDE/>
        <w:autoSpaceDN/>
        <w:bidi w:val="0"/>
        <w:adjustRightInd/>
        <w:snapToGrid/>
        <w:spacing w:line="560" w:lineRule="exact"/>
        <w:ind w:left="0" w:firstLine="675" w:firstLineChars="200"/>
        <w:jc w:val="both"/>
        <w:textAlignment w:val="auto"/>
        <w:outlineLvl w:val="1"/>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第三部分2024年部门预算情况说明</w:t>
      </w:r>
    </w:p>
    <w:p>
      <w:pPr>
        <w:keepNext w:val="0"/>
        <w:keepLines w:val="0"/>
        <w:pageBreakBefore w:val="0"/>
        <w:widowControl/>
        <w:kinsoku/>
        <w:wordWrap/>
        <w:overflowPunct/>
        <w:topLinePunct w:val="0"/>
        <w:autoSpaceDE/>
        <w:autoSpaceDN/>
        <w:bidi w:val="0"/>
        <w:adjustRightInd/>
        <w:snapToGrid/>
        <w:spacing w:line="560" w:lineRule="exact"/>
        <w:ind w:left="0" w:firstLine="675" w:firstLineChars="200"/>
        <w:jc w:val="both"/>
        <w:textAlignment w:val="auto"/>
        <w:outlineLvl w:val="1"/>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第四部分  名词解释</w:t>
      </w:r>
    </w:p>
    <w:p>
      <w:pPr>
        <w:jc w:val="left"/>
      </w:pPr>
    </w:p>
    <w:p>
      <w:pPr>
        <w:jc w:val="left"/>
      </w:pPr>
    </w:p>
    <w:p>
      <w:pPr>
        <w:jc w:val="left"/>
      </w:pPr>
    </w:p>
    <w:p>
      <w:pPr>
        <w:jc w:val="left"/>
      </w:pPr>
    </w:p>
    <w:p>
      <w:pPr>
        <w:jc w:val="left"/>
      </w:pPr>
    </w:p>
    <w:p>
      <w:pPr>
        <w:jc w:val="left"/>
      </w:pPr>
    </w:p>
    <w:p>
      <w:pPr>
        <w:jc w:val="left"/>
      </w:pPr>
    </w:p>
    <w:p>
      <w:pPr>
        <w:jc w:val="left"/>
      </w:pPr>
    </w:p>
    <w:p>
      <w:pPr>
        <w:widowControl/>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固原市原州区综合执法局本级2024年部门预算——单位概况</w:t>
      </w:r>
    </w:p>
    <w:p>
      <w:pPr>
        <w:jc w:val="left"/>
      </w:pPr>
    </w:p>
    <w:p>
      <w:pPr>
        <w:widowControl/>
        <w:spacing w:line="560" w:lineRule="exact"/>
        <w:ind w:firstLine="48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1、贯彻执行国家、自治区、固原市有关市容管理方面的法律、法规、规章和政策。研究拟订市容环境卫生管理有关规范性文件和行业规范及标准，并组织实施。</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2、制定城市环境卫生发展规划和年度计划。</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3、负责城市市容环境卫生管理，负责环境卫生设施的规划建设及其管护工作；负责城市环境卫生作业服务市场的监管、城市生活垃圾和特定废弃物的管理。</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4、负责城市建筑垃圾和工程渣土处置管理工作。督促相关部门、单位做好拆迁现场、施工现场的环境卫生工作；组织城市生活垃圾处理费、建筑垃圾和工程渣土处置费的征收，并监督使用。</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5、负责对各乡镇、街道办事处环境整治工作的指导、协调、检查、监督。</w:t>
      </w:r>
    </w:p>
    <w:p>
      <w:pPr>
        <w:keepNext w:val="0"/>
        <w:keepLines w:val="0"/>
        <w:pageBreakBefore w:val="0"/>
        <w:widowControl/>
        <w:kinsoku/>
        <w:wordWrap/>
        <w:overflowPunct/>
        <w:topLinePunct w:val="0"/>
        <w:autoSpaceDE/>
        <w:autoSpaceDN/>
        <w:bidi w:val="0"/>
        <w:adjustRightInd/>
        <w:snapToGrid/>
        <w:spacing w:line="560" w:lineRule="exact"/>
        <w:ind w:left="0" w:firstLine="480"/>
        <w:jc w:val="left"/>
        <w:textAlignment w:val="auto"/>
        <w:rPr>
          <w:rFonts w:hint="eastAsia" w:ascii="黑体" w:hAnsi="黑体" w:eastAsia="黑体" w:cs="宋体"/>
          <w:b w:val="0"/>
          <w:bCs w:val="0"/>
          <w:kern w:val="0"/>
          <w:sz w:val="32"/>
          <w:szCs w:val="32"/>
        </w:rPr>
      </w:pPr>
      <w:r>
        <w:rPr>
          <w:rFonts w:hint="eastAsia" w:ascii="黑体" w:hAnsi="黑体" w:eastAsia="黑体" w:cs="宋体"/>
          <w:b w:val="0"/>
          <w:bCs w:val="0"/>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对本部门（单位）及所属预算单位构成进行详细说明。如：</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从预算单位构成看，固原市原州区综合执法局本级部门预算包括：综合执法局本级预算、所属事业单位预算。纳入综合执法局本级2024年部门预算编制的二级预算单位包括：</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1、固原市原州区城市管理执法监察大队;</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2、固原市原州区住房保障和物业管理中心。</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3、固原市原州区土地房屋征收办公室；</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根据有关规定，综合执法局本级部门预算涵盖单位包括：局机关（编制10人，现有人员在职9人）;城市管理执法监察大队（编制104人，现有人员在职103人）；住房保障和物业管理中心（编制4人，现在职人员3人）; 土地房屋征收办公室（编制5人，现有人员在职5人）。</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原州区综合执法局本级2024年部门预算——预算表</w:t>
      </w:r>
    </w:p>
    <w:p>
      <w:pPr>
        <w:jc w:val="left"/>
      </w:pPr>
    </w:p>
    <w:p>
      <w:pPr>
        <w:jc w:val="left"/>
        <w:rPr>
          <w:rFonts w:hint="eastAsia" w:ascii="黑体" w:hAnsi="黑体" w:eastAsia="黑体" w:cs="黑体"/>
          <w:sz w:val="32"/>
          <w:szCs w:val="32"/>
        </w:rPr>
      </w:pPr>
      <w:r>
        <w:rPr>
          <w:rFonts w:hint="eastAsia" w:ascii="黑体" w:hAnsi="黑体" w:eastAsia="黑体" w:cs="黑体"/>
          <w:sz w:val="32"/>
          <w:szCs w:val="32"/>
        </w:rPr>
        <w:t>一、财政拨款收支预算总表</w:t>
      </w:r>
    </w:p>
    <w:p>
      <w:pPr>
        <w:widowControl/>
        <w:spacing w:line="560" w:lineRule="exact"/>
        <w:jc w:val="center"/>
        <w:outlineLvl w:val="1"/>
        <w:rPr>
          <w:rFonts w:hint="eastAsia" w:ascii="仿宋_GB2312" w:eastAsia="仿宋_GB2312" w:cs="宋体"/>
          <w:b/>
          <w:sz w:val="36"/>
          <w:szCs w:val="36"/>
        </w:rPr>
      </w:pPr>
      <w:r>
        <w:rPr>
          <w:rFonts w:hint="eastAsia" w:ascii="仿宋_GB2312" w:eastAsia="仿宋_GB2312" w:cs="宋体"/>
          <w:b/>
          <w:sz w:val="36"/>
          <w:szCs w:val="36"/>
        </w:rPr>
        <w:t>财政拨款收支预算总表</w:t>
      </w:r>
    </w:p>
    <w:p>
      <w:pPr>
        <w:widowControl/>
        <w:ind w:firstLine="672" w:firstLineChars="200"/>
        <w:jc w:val="left"/>
        <w:outlineLvl w:val="1"/>
        <w:rPr>
          <w:rFonts w:hint="eastAsia" w:ascii="仿宋_GB2312" w:hAnsi="宋体" w:eastAsia="仿宋_GB2312" w:cs="宋体"/>
          <w:kern w:val="0"/>
          <w:sz w:val="30"/>
          <w:szCs w:val="30"/>
        </w:rPr>
      </w:pPr>
      <w:r>
        <w:rPr>
          <w:rFonts w:hint="eastAsia" w:ascii="仿宋_GB2312" w:hAnsi="宋体" w:eastAsia="仿宋_GB2312"/>
          <w:kern w:val="0"/>
          <w:sz w:val="32"/>
          <w:szCs w:val="32"/>
        </w:rPr>
        <w:t xml:space="preserve">                                                         </w:t>
      </w:r>
      <w:r>
        <w:rPr>
          <w:rFonts w:hint="eastAsia" w:ascii="仿宋_GB2312" w:hAnsi="宋体" w:eastAsia="仿宋_GB2312"/>
          <w:kern w:val="0"/>
          <w:sz w:val="30"/>
          <w:szCs w:val="30"/>
        </w:rPr>
        <w:t xml:space="preserve"> </w:t>
      </w:r>
      <w:r>
        <w:rPr>
          <w:rFonts w:hint="eastAsia" w:ascii="仿宋_GB2312" w:hAnsi="宋体" w:eastAsia="仿宋_GB2312" w:cs="宋体"/>
          <w:kern w:val="0"/>
          <w:sz w:val="30"/>
          <w:szCs w:val="30"/>
        </w:rPr>
        <w:t>单位：万元</w:t>
      </w:r>
    </w:p>
    <w:tbl>
      <w:tblPr>
        <w:tblStyle w:val="5"/>
        <w:tblW w:w="0" w:type="auto"/>
        <w:tblInd w:w="91" w:type="dxa"/>
        <w:tblLayout w:type="fixed"/>
        <w:tblCellMar>
          <w:top w:w="0" w:type="dxa"/>
          <w:left w:w="108" w:type="dxa"/>
          <w:bottom w:w="0" w:type="dxa"/>
          <w:right w:w="108" w:type="dxa"/>
        </w:tblCellMar>
      </w:tblPr>
      <w:tblGrid>
        <w:gridCol w:w="3860"/>
        <w:gridCol w:w="1969"/>
        <w:gridCol w:w="3251"/>
        <w:gridCol w:w="1569"/>
        <w:gridCol w:w="1559"/>
        <w:gridCol w:w="952"/>
      </w:tblGrid>
      <w:tr>
        <w:tblPrEx>
          <w:tblCellMar>
            <w:top w:w="0" w:type="dxa"/>
            <w:left w:w="108" w:type="dxa"/>
            <w:bottom w:w="0" w:type="dxa"/>
            <w:right w:w="108" w:type="dxa"/>
          </w:tblCellMar>
        </w:tblPrEx>
        <w:trPr>
          <w:trHeight w:val="464" w:hRule="atLeast"/>
        </w:trPr>
        <w:tc>
          <w:tcPr>
            <w:tcW w:w="5829" w:type="dxa"/>
            <w:gridSpan w:val="2"/>
            <w:tcBorders>
              <w:top w:val="single" w:color="000000" w:sz="8" w:space="0"/>
              <w:left w:val="single" w:color="000000" w:sz="8" w:space="0"/>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收     入</w:t>
            </w:r>
          </w:p>
        </w:tc>
        <w:tc>
          <w:tcPr>
            <w:tcW w:w="7331" w:type="dxa"/>
            <w:gridSpan w:val="4"/>
            <w:tcBorders>
              <w:top w:val="single" w:color="000000" w:sz="8" w:space="0"/>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项    目</w:t>
            </w:r>
          </w:p>
        </w:tc>
        <w:tc>
          <w:tcPr>
            <w:tcW w:w="1969" w:type="dxa"/>
            <w:vMerge w:val="restar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预算数</w:t>
            </w:r>
          </w:p>
        </w:tc>
        <w:tc>
          <w:tcPr>
            <w:tcW w:w="3251" w:type="dxa"/>
            <w:vMerge w:val="restar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预算数</w:t>
            </w:r>
          </w:p>
        </w:tc>
      </w:tr>
      <w:tr>
        <w:tblPrEx>
          <w:tblCellMar>
            <w:top w:w="0" w:type="dxa"/>
            <w:left w:w="108" w:type="dxa"/>
            <w:bottom w:w="0" w:type="dxa"/>
            <w:right w:w="108" w:type="dxa"/>
          </w:tblCellMar>
        </w:tblPrEx>
        <w:trPr>
          <w:trHeight w:val="841" w:hRule="atLeast"/>
        </w:trPr>
        <w:tc>
          <w:tcPr>
            <w:tcW w:w="3860" w:type="dxa"/>
            <w:vMerge w:val="continue"/>
            <w:tcBorders>
              <w:top w:val="nil"/>
              <w:left w:val="single" w:color="000000" w:sz="8" w:space="0"/>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p>
        </w:tc>
        <w:tc>
          <w:tcPr>
            <w:tcW w:w="1969" w:type="dxa"/>
            <w:vMerge w:val="continue"/>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p>
        </w:tc>
        <w:tc>
          <w:tcPr>
            <w:tcW w:w="3251" w:type="dxa"/>
            <w:vMerge w:val="continue"/>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p>
        </w:tc>
        <w:tc>
          <w:tcPr>
            <w:tcW w:w="1569"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小计</w:t>
            </w:r>
          </w:p>
        </w:tc>
        <w:tc>
          <w:tcPr>
            <w:tcW w:w="1559"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一般公共预算财政拨款支出</w:t>
            </w:r>
          </w:p>
        </w:tc>
        <w:tc>
          <w:tcPr>
            <w:tcW w:w="952"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一、本年收入</w:t>
            </w:r>
          </w:p>
        </w:tc>
        <w:tc>
          <w:tcPr>
            <w:tcW w:w="1969"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4176.86</w:t>
            </w:r>
          </w:p>
        </w:tc>
        <w:tc>
          <w:tcPr>
            <w:tcW w:w="3251"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一、本年支出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4176.86</w:t>
            </w:r>
          </w:p>
        </w:tc>
        <w:tc>
          <w:tcPr>
            <w:tcW w:w="1559"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4176.86</w:t>
            </w:r>
          </w:p>
        </w:tc>
        <w:tc>
          <w:tcPr>
            <w:tcW w:w="952"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（一）一般公共预算财政拨款收入</w:t>
            </w: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4176.86</w:t>
            </w: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（一）一般公共服务支出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78.39</w:t>
            </w: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78.39</w:t>
            </w: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（二）政府性基金预算财政拨款收入</w:t>
            </w: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（二）外交支出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（八）社会保障和就业支出</w:t>
            </w:r>
          </w:p>
        </w:tc>
        <w:tc>
          <w:tcPr>
            <w:tcW w:w="156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281.86</w:t>
            </w:r>
          </w:p>
        </w:tc>
        <w:tc>
          <w:tcPr>
            <w:tcW w:w="155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281.86</w:t>
            </w:r>
          </w:p>
        </w:tc>
        <w:tc>
          <w:tcPr>
            <w:tcW w:w="952"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（九）卫生健康支出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99.94</w:t>
            </w: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99.94</w:t>
            </w: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（十）节能环保支出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（十一）城乡社区支出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2457.37</w:t>
            </w: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2457.37</w:t>
            </w: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（十二）农林水支出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（十八）住房保障支出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1259.3</w:t>
            </w: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1259.3</w:t>
            </w:r>
          </w:p>
        </w:tc>
        <w:tc>
          <w:tcPr>
            <w:tcW w:w="952" w:type="dxa"/>
            <w:tcBorders>
              <w:top w:val="nil"/>
              <w:left w:val="nil"/>
              <w:bottom w:val="single" w:color="000000" w:sz="4" w:space="0"/>
              <w:right w:val="single" w:color="auto"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二、上年结转结余</w:t>
            </w:r>
          </w:p>
        </w:tc>
        <w:tc>
          <w:tcPr>
            <w:tcW w:w="196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二、年末结转结余</w:t>
            </w:r>
          </w:p>
        </w:tc>
        <w:tc>
          <w:tcPr>
            <w:tcW w:w="156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55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（一）一般公共预算财政拨款</w:t>
            </w: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（一）一般公共预算财政拨款</w:t>
            </w:r>
          </w:p>
        </w:tc>
        <w:tc>
          <w:tcPr>
            <w:tcW w:w="1569" w:type="dxa"/>
            <w:tcBorders>
              <w:top w:val="nil"/>
              <w:left w:val="nil"/>
              <w:bottom w:val="nil"/>
              <w:right w:val="single" w:color="000000"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（二）政府性基金预算财政拨款</w:t>
            </w: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nil"/>
            </w:tcBorders>
            <w:noWrap/>
            <w:vAlign w:val="center"/>
          </w:tcPr>
          <w:p>
            <w:pPr>
              <w:widowControl/>
              <w:jc w:val="left"/>
              <w:rPr>
                <w:rFonts w:hint="eastAsia" w:cs="Arial"/>
                <w:color w:val="000000"/>
                <w:sz w:val="22"/>
                <w:szCs w:val="22"/>
              </w:rPr>
            </w:pPr>
            <w:r>
              <w:rPr>
                <w:rFonts w:hint="eastAsia" w:cs="Arial"/>
                <w:color w:val="000000"/>
                <w:sz w:val="22"/>
                <w:szCs w:val="22"/>
              </w:rPr>
              <w:t>（二）政府性基金预算财政拨款</w:t>
            </w:r>
          </w:p>
        </w:tc>
        <w:tc>
          <w:tcPr>
            <w:tcW w:w="156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noWrap/>
            <w:vAlign w:val="center"/>
          </w:tcPr>
          <w:p>
            <w:pPr>
              <w:widowControl/>
              <w:jc w:val="center"/>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收入总计</w:t>
            </w:r>
          </w:p>
        </w:tc>
        <w:tc>
          <w:tcPr>
            <w:tcW w:w="1969" w:type="dxa"/>
            <w:tcBorders>
              <w:top w:val="nil"/>
              <w:left w:val="nil"/>
              <w:bottom w:val="single" w:color="000000" w:sz="8" w:space="0"/>
              <w:right w:val="single" w:color="000000" w:sz="4" w:space="0"/>
            </w:tcBorders>
            <w:noWrap/>
            <w:vAlign w:val="center"/>
          </w:tcPr>
          <w:p>
            <w:pPr>
              <w:widowControl/>
              <w:jc w:val="center"/>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4176.86</w:t>
            </w:r>
          </w:p>
        </w:tc>
        <w:tc>
          <w:tcPr>
            <w:tcW w:w="7331" w:type="dxa"/>
            <w:gridSpan w:val="4"/>
            <w:tcBorders>
              <w:top w:val="single" w:color="000000" w:sz="4" w:space="0"/>
              <w:left w:val="nil"/>
              <w:bottom w:val="single" w:color="000000" w:sz="8" w:space="0"/>
              <w:right w:val="single" w:color="000000" w:sz="4" w:space="0"/>
            </w:tcBorders>
            <w:noWrap/>
            <w:vAlign w:val="center"/>
          </w:tcPr>
          <w:p>
            <w:pPr>
              <w:widowControl/>
              <w:jc w:val="center"/>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支出总计        4176.86</w:t>
            </w:r>
          </w:p>
        </w:tc>
      </w:tr>
    </w:tbl>
    <w:p>
      <w:pPr>
        <w:widowControl/>
        <w:outlineLvl w:val="1"/>
        <w:rPr>
          <w:rFonts w:hint="eastAsia" w:ascii="仿宋_GB2312" w:hAnsi="宋体" w:eastAsia="仿宋_GB2312"/>
          <w:kern w:val="0"/>
          <w:sz w:val="32"/>
          <w:szCs w:val="32"/>
        </w:rPr>
      </w:pPr>
      <w:r>
        <w:rPr>
          <w:rFonts w:hint="eastAsia" w:ascii="仿宋_GB2312" w:eastAsia="仿宋_GB2312" w:cs="宋体"/>
          <w:sz w:val="32"/>
          <w:szCs w:val="32"/>
        </w:rPr>
        <w:t>注：支出预算功能科目各单位根据本单位实际据实填写，其他科目删除。</w:t>
      </w:r>
    </w:p>
    <w:p>
      <w:pPr>
        <w:widowControl/>
        <w:ind w:firstLine="672" w:firstLineChars="200"/>
        <w:outlineLvl w:val="1"/>
        <w:rPr>
          <w:rFonts w:hint="eastAsia" w:ascii="黑体" w:hAnsi="宋体" w:eastAsia="黑体"/>
          <w:b/>
          <w:kern w:val="0"/>
          <w:sz w:val="32"/>
          <w:szCs w:val="32"/>
          <w:lang w:eastAsia="zh-CN"/>
        </w:rPr>
      </w:pPr>
    </w:p>
    <w:p>
      <w:pPr>
        <w:widowControl/>
        <w:ind w:firstLine="672" w:firstLineChars="200"/>
        <w:outlineLvl w:val="1"/>
        <w:rPr>
          <w:rFonts w:hint="eastAsia" w:ascii="黑体" w:hAnsi="宋体" w:eastAsia="黑体"/>
          <w:b/>
          <w:kern w:val="0"/>
          <w:sz w:val="32"/>
          <w:szCs w:val="32"/>
          <w:lang w:eastAsia="zh-CN"/>
        </w:rPr>
      </w:pPr>
    </w:p>
    <w:p>
      <w:pPr>
        <w:widowControl/>
        <w:ind w:firstLine="672" w:firstLineChars="200"/>
        <w:outlineLvl w:val="1"/>
        <w:rPr>
          <w:rFonts w:hint="eastAsia" w:ascii="黑体" w:hAnsi="宋体" w:eastAsia="黑体"/>
          <w:b/>
          <w:kern w:val="0"/>
          <w:sz w:val="32"/>
          <w:szCs w:val="32"/>
          <w:lang w:eastAsia="zh-CN"/>
        </w:rPr>
      </w:pPr>
    </w:p>
    <w:p>
      <w:pPr>
        <w:pStyle w:val="2"/>
        <w:rPr>
          <w:rFonts w:hint="eastAsia" w:ascii="黑体" w:hAnsi="宋体" w:eastAsia="黑体"/>
          <w:b/>
          <w:kern w:val="0"/>
          <w:sz w:val="32"/>
          <w:szCs w:val="32"/>
          <w:lang w:eastAsia="zh-CN"/>
        </w:rPr>
      </w:pPr>
    </w:p>
    <w:p>
      <w:pPr>
        <w:pStyle w:val="2"/>
        <w:rPr>
          <w:rFonts w:hint="eastAsia" w:ascii="黑体" w:hAnsi="宋体" w:eastAsia="黑体"/>
          <w:b/>
          <w:kern w:val="0"/>
          <w:sz w:val="32"/>
          <w:szCs w:val="32"/>
          <w:lang w:eastAsia="zh-CN"/>
        </w:rPr>
      </w:pPr>
    </w:p>
    <w:p>
      <w:pPr>
        <w:widowControl/>
        <w:jc w:val="both"/>
        <w:outlineLvl w:val="1"/>
        <w:rPr>
          <w:rFonts w:hint="eastAsia" w:ascii="仿宋_GB2312" w:eastAsia="仿宋_GB2312"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outlineLvl w:val="1"/>
        <w:rPr>
          <w:rFonts w:hint="eastAsia" w:ascii="黑体" w:hAnsi="宋体" w:eastAsia="黑体" w:cs="宋体"/>
          <w:b w:val="0"/>
          <w:bCs/>
          <w:kern w:val="0"/>
          <w:sz w:val="32"/>
          <w:szCs w:val="32"/>
          <w:lang w:eastAsia="zh-CN"/>
        </w:rPr>
      </w:pPr>
      <w:r>
        <w:rPr>
          <w:rFonts w:hint="eastAsia" w:ascii="黑体" w:hAnsi="宋体" w:eastAsia="黑体" w:cs="宋体"/>
          <w:b w:val="0"/>
          <w:bCs/>
          <w:kern w:val="0"/>
          <w:sz w:val="32"/>
          <w:szCs w:val="32"/>
          <w:lang w:eastAsia="zh-CN"/>
        </w:rPr>
        <w:t>二、一般公共预算财政拨款支出表</w:t>
      </w:r>
    </w:p>
    <w:p>
      <w:pPr>
        <w:jc w:val="left"/>
      </w:pPr>
    </w:p>
    <w:p>
      <w:pPr>
        <w:widowControl/>
        <w:spacing w:line="560" w:lineRule="exact"/>
        <w:ind w:firstLine="912" w:firstLineChars="200"/>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一般公共预算财政拨款支出表</w:t>
      </w:r>
    </w:p>
    <w:p>
      <w:pPr>
        <w:widowControl/>
        <w:ind w:firstLine="735"/>
        <w:jc w:val="left"/>
        <w:outlineLvl w:val="1"/>
        <w:rPr>
          <w:rFonts w:hint="eastAsia" w:ascii="仿宋_GB2312" w:hAnsi="宋体" w:eastAsia="仿宋_GB2312" w:cs="宋体"/>
          <w:kern w:val="0"/>
          <w:sz w:val="30"/>
          <w:szCs w:val="30"/>
        </w:rPr>
      </w:pPr>
      <w:r>
        <w:rPr>
          <w:rFonts w:hint="eastAsia" w:ascii="仿宋_GB2312" w:hAnsi="宋体" w:eastAsia="仿宋_GB2312"/>
          <w:kern w:val="0"/>
          <w:sz w:val="32"/>
          <w:szCs w:val="32"/>
        </w:rPr>
        <w:t xml:space="preserve">                                                            </w:t>
      </w:r>
      <w:r>
        <w:rPr>
          <w:rFonts w:hint="eastAsia" w:ascii="仿宋_GB2312" w:hAnsi="宋体" w:eastAsia="仿宋_GB2312"/>
          <w:kern w:val="0"/>
          <w:sz w:val="30"/>
          <w:szCs w:val="30"/>
        </w:rPr>
        <w:t xml:space="preserve"> </w:t>
      </w:r>
      <w:r>
        <w:rPr>
          <w:rFonts w:hint="eastAsia" w:ascii="仿宋_GB2312" w:hAnsi="宋体" w:eastAsia="仿宋_GB2312" w:cs="宋体"/>
          <w:kern w:val="0"/>
          <w:sz w:val="30"/>
          <w:szCs w:val="30"/>
        </w:rPr>
        <w:t>单位：万元</w:t>
      </w:r>
    </w:p>
    <w:tbl>
      <w:tblPr>
        <w:tblStyle w:val="5"/>
        <w:tblW w:w="0" w:type="auto"/>
        <w:tblInd w:w="91" w:type="dxa"/>
        <w:tblLayout w:type="fixed"/>
        <w:tblCellMar>
          <w:top w:w="0" w:type="dxa"/>
          <w:left w:w="108" w:type="dxa"/>
          <w:bottom w:w="0" w:type="dxa"/>
          <w:right w:w="108" w:type="dxa"/>
        </w:tblCellMar>
      </w:tblPr>
      <w:tblGrid>
        <w:gridCol w:w="1637"/>
        <w:gridCol w:w="1980"/>
        <w:gridCol w:w="1779"/>
        <w:gridCol w:w="1620"/>
        <w:gridCol w:w="1800"/>
        <w:gridCol w:w="1549"/>
        <w:gridCol w:w="667"/>
        <w:gridCol w:w="1318"/>
        <w:gridCol w:w="1160"/>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功能分类科目</w:t>
            </w:r>
          </w:p>
        </w:tc>
        <w:tc>
          <w:tcPr>
            <w:tcW w:w="1779" w:type="dxa"/>
            <w:vMerge w:val="restart"/>
            <w:tcBorders>
              <w:top w:val="single" w:color="auto" w:sz="4" w:space="0"/>
              <w:left w:val="nil"/>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2023年执行数（决算数）</w:t>
            </w:r>
          </w:p>
          <w:p>
            <w:pPr>
              <w:widowControl/>
              <w:spacing w:line="240" w:lineRule="exact"/>
              <w:jc w:val="center"/>
              <w:rPr>
                <w:rFonts w:hint="eastAsia" w:cs="宋体"/>
                <w:b/>
                <w:bCs/>
                <w:sz w:val="22"/>
                <w:szCs w:val="22"/>
              </w:rPr>
            </w:pPr>
          </w:p>
        </w:tc>
        <w:tc>
          <w:tcPr>
            <w:tcW w:w="4969"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2024年预算数</w:t>
            </w:r>
          </w:p>
        </w:tc>
        <w:tc>
          <w:tcPr>
            <w:tcW w:w="3145" w:type="dxa"/>
            <w:gridSpan w:val="3"/>
            <w:tcBorders>
              <w:top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2024年预算数与2023年执行数（决算数）</w:t>
            </w:r>
          </w:p>
        </w:tc>
      </w:tr>
      <w:tr>
        <w:tblPrEx>
          <w:tblCellMar>
            <w:top w:w="0" w:type="dxa"/>
            <w:left w:w="108" w:type="dxa"/>
            <w:bottom w:w="0" w:type="dxa"/>
            <w:right w:w="108" w:type="dxa"/>
          </w:tblCellMar>
        </w:tblPrEx>
        <w:trPr>
          <w:trHeight w:val="757" w:hRule="atLeast"/>
        </w:trPr>
        <w:tc>
          <w:tcPr>
            <w:tcW w:w="1637"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科目编码</w:t>
            </w:r>
          </w:p>
        </w:tc>
        <w:tc>
          <w:tcPr>
            <w:tcW w:w="1980" w:type="dxa"/>
            <w:tcBorders>
              <w:top w:val="nil"/>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科目名称</w:t>
            </w:r>
          </w:p>
        </w:tc>
        <w:tc>
          <w:tcPr>
            <w:tcW w:w="1779" w:type="dxa"/>
            <w:vMerge w:val="continue"/>
            <w:tcBorders>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p>
        </w:tc>
        <w:tc>
          <w:tcPr>
            <w:tcW w:w="1620" w:type="dxa"/>
            <w:tcBorders>
              <w:top w:val="nil"/>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合计</w:t>
            </w:r>
          </w:p>
        </w:tc>
        <w:tc>
          <w:tcPr>
            <w:tcW w:w="1800" w:type="dxa"/>
            <w:tcBorders>
              <w:top w:val="nil"/>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基本支出</w:t>
            </w:r>
          </w:p>
        </w:tc>
        <w:tc>
          <w:tcPr>
            <w:tcW w:w="154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项目支出</w:t>
            </w:r>
          </w:p>
        </w:tc>
        <w:tc>
          <w:tcPr>
            <w:tcW w:w="667" w:type="dxa"/>
            <w:tcBorders>
              <w:top w:val="single" w:color="auto" w:sz="4" w:space="0"/>
              <w:bottom w:val="single" w:color="auto" w:sz="4" w:space="0"/>
            </w:tcBorders>
            <w:noWrap/>
            <w:vAlign w:val="center"/>
          </w:tcPr>
          <w:p>
            <w:pPr>
              <w:widowControl/>
              <w:spacing w:line="240" w:lineRule="exact"/>
              <w:jc w:val="center"/>
              <w:rPr>
                <w:rFonts w:hint="eastAsia" w:cs="宋体"/>
                <w:b/>
                <w:bCs/>
                <w:sz w:val="22"/>
                <w:szCs w:val="22"/>
              </w:rPr>
            </w:pPr>
          </w:p>
        </w:tc>
        <w:tc>
          <w:tcPr>
            <w:tcW w:w="1318" w:type="dxa"/>
            <w:tcBorders>
              <w:top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增减额</w:t>
            </w:r>
          </w:p>
        </w:tc>
        <w:tc>
          <w:tcPr>
            <w:tcW w:w="1160" w:type="dxa"/>
            <w:tcBorders>
              <w:top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2019999</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其他一般公共服务支出</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48.17</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78.39</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78.39</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30.21</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62.72</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2080505</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机关事业单位基本养老保险缴费支出</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174.92</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187.91</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187.91</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12.99</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7.43</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2080506</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机关事业单位职业年金缴费支出</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132.95</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93.95</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93.95</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-39</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-29.33</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2101103</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公务员医疗补助</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14.06</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22.91</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22.91</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8.85</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62.98</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2101199</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财政对城镇职工基本医疗保险基金的补助</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71.46</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77.03</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77.03</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5.57</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7.8</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2120101</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行政运行</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1597.43</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1779.37</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1779.37</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181.94</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11.39</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2120104</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城管执法</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545</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95</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95</w:t>
            </w: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-45</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-82.57</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2120199</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其他城乡社区管理事务支出</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2631.51</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583</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583</w:t>
            </w: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-2048.51</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-77.85</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2210107</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保障性住房租金补贴</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511.79</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373</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373</w:t>
            </w: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-138.79</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-27.12</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2210108</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老旧小区改造</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2284.10</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627</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627</w:t>
            </w: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-1657.10</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-72.55</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2210201</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住房公积金</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154.88</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167.99</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167.99</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13.11</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8.46</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2210203</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购房补贴</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77.72</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91.31</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91.31</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13.59</w:t>
            </w:r>
          </w:p>
        </w:tc>
        <w:tc>
          <w:tcPr>
            <w:tcW w:w="1160" w:type="dxa"/>
            <w:tcBorders>
              <w:top w:val="single" w:color="auto" w:sz="4" w:space="0"/>
              <w:bottom w:val="single" w:color="auto" w:sz="4" w:space="0"/>
              <w:right w:val="single" w:color="auto" w:sz="4" w:space="0"/>
            </w:tcBorders>
            <w:noWrap/>
          </w:tcPr>
          <w:p>
            <w:pPr>
              <w:widowControl/>
              <w:jc w:val="center"/>
              <w:rPr>
                <w:rFonts w:hint="eastAsia" w:cs="宋体"/>
                <w:sz w:val="20"/>
                <w:szCs w:val="20"/>
              </w:rPr>
            </w:pPr>
            <w:r>
              <w:rPr>
                <w:rFonts w:hint="eastAsia" w:cs="宋体"/>
                <w:sz w:val="20"/>
                <w:szCs w:val="20"/>
              </w:rPr>
              <w:t>17.48</w:t>
            </w:r>
          </w:p>
        </w:tc>
      </w:tr>
    </w:tbl>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outlineLvl w:val="1"/>
        <w:rPr>
          <w:rFonts w:hint="eastAsia" w:ascii="黑体" w:hAnsi="宋体" w:eastAsia="黑体" w:cs="宋体"/>
          <w:b w:val="0"/>
          <w:bCs/>
          <w:kern w:val="0"/>
          <w:sz w:val="32"/>
          <w:szCs w:val="32"/>
          <w:lang w:eastAsia="zh-CN"/>
        </w:rPr>
      </w:pPr>
      <w:r>
        <w:rPr>
          <w:rFonts w:hint="eastAsia" w:ascii="黑体" w:hAnsi="宋体" w:eastAsia="黑体" w:cs="宋体"/>
          <w:b w:val="0"/>
          <w:bCs/>
          <w:kern w:val="0"/>
          <w:sz w:val="32"/>
          <w:szCs w:val="32"/>
          <w:lang w:eastAsia="zh-CN"/>
        </w:rPr>
        <w:t>三、一般公共预算财政拨款基本支出表</w:t>
      </w:r>
    </w:p>
    <w:p>
      <w:pPr>
        <w:jc w:val="left"/>
      </w:pPr>
    </w:p>
    <w:p>
      <w:pPr>
        <w:widowControl/>
        <w:spacing w:line="520" w:lineRule="exact"/>
        <w:ind w:firstLine="752" w:firstLineChars="200"/>
        <w:jc w:val="center"/>
        <w:outlineLvl w:val="1"/>
        <w:rPr>
          <w:rFonts w:hint="eastAsia" w:ascii="宋体" w:hAnsi="宋体" w:eastAsia="宋体" w:cs="宋体"/>
          <w:b/>
          <w:bCs/>
          <w:sz w:val="22"/>
          <w:szCs w:val="22"/>
        </w:rPr>
      </w:pPr>
      <w:r>
        <w:rPr>
          <w:rFonts w:hint="eastAsia" w:ascii="方正小标宋简体" w:hAnsi="方正小标宋简体" w:eastAsia="方正小标宋简体" w:cs="方正小标宋简体"/>
          <w:bCs/>
          <w:sz w:val="36"/>
          <w:szCs w:val="36"/>
        </w:rPr>
        <w:t>一般公共预算财政拨款基本支出表</w:t>
      </w:r>
    </w:p>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 xml:space="preserve">                                                          单位：万元</w:t>
      </w:r>
    </w:p>
    <w:tbl>
      <w:tblPr>
        <w:tblStyle w:val="5"/>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2357"/>
        <w:gridCol w:w="3280"/>
        <w:gridCol w:w="2409"/>
        <w:gridCol w:w="2410"/>
        <w:gridCol w:w="2268"/>
      </w:tblGrid>
      <w:tr>
        <w:tblPrEx>
          <w:tblCellMar>
            <w:top w:w="0" w:type="dxa"/>
            <w:left w:w="108" w:type="dxa"/>
            <w:bottom w:w="0" w:type="dxa"/>
            <w:right w:w="108" w:type="dxa"/>
          </w:tblCellMar>
        </w:tblPrEx>
        <w:trPr>
          <w:trHeight w:val="397" w:hRule="atLeast"/>
          <w:tblHeader/>
        </w:trPr>
        <w:tc>
          <w:tcPr>
            <w:tcW w:w="5637" w:type="dxa"/>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经济科目</w:t>
            </w:r>
          </w:p>
        </w:tc>
        <w:tc>
          <w:tcPr>
            <w:tcW w:w="7087" w:type="dxa"/>
            <w:gridSpan w:val="3"/>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科目编码</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科目名称</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合计</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人员支出</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637" w:type="dxa"/>
            <w:gridSpan w:val="2"/>
            <w:tcBorders>
              <w:top w:val="single" w:color="auto" w:sz="4" w:space="0"/>
              <w:left w:val="single" w:color="auto" w:sz="4" w:space="0"/>
              <w:bottom w:val="single" w:color="auto" w:sz="4" w:space="0"/>
              <w:right w:val="single" w:color="000000"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总计</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2498.86</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2352.39</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146.47</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b/>
                <w:bCs/>
                <w:sz w:val="22"/>
                <w:szCs w:val="22"/>
              </w:rPr>
              <w:t>一、工资福利支出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2338.14</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2338.14</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基本工资</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606.23</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606.23</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津贴补贴</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462.94</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462.94</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奖金</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458.59</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458.59</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30106</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伙食补助费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30107</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绩效工资</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255.84</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255.84</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30108</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机关事业单位基本养老保险缴费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187.91</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187.91</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30109</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职业年金缴费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93.95</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93.95</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30110</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职工基本医疗保险缴费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77.03</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77.03</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30111</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公务员医疗补助缴费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21.88</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21.88</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其他社会保障缴费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5.78</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5.78</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住房公积金</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167.99</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167.99</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30114</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医疗费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30199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其他工资福利支出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二、商品和服务支出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154.46</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7.99</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146.47</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办公费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32.97</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32.97</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印刷费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3.5</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咨询费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30204</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手续费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30205</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3.08</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3.08</w:t>
            </w: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30206</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电费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30207</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邮电费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30208</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取暖费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7.44</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7.44</w:t>
            </w: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30209</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物业管理费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差旅费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9.5</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9.5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因公出国（境）费用</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维修（护）费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7.5</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7.5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30214</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租赁费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30215</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会议费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30216</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培训费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30217</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公务接待费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30218</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专用材料费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611"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30224</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被装购置费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30225</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专用燃料费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20</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30226</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劳务费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30227</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委托业务费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w:t>
            </w: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30228</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工会经费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17.44</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17.44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福利费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30231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公务用车运行维护费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30239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其他交通费用</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18.97</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18.97</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30240</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税金及附加费用</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30299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其他商品和服务支出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28.08</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28.08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三、对个人和家庭的补助</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6.26</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6.26</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离休费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退休费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4.63</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4.63</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30303</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退职（役）费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30304</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抚恤金</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30305</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生活补助</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30306</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救济费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30307</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医疗费补助</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30308</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助学金</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奖励金</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0.12</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0.12</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30310</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个人农业生产补贴</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30399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其他对个人和家庭的补助支出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1.51</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1.51</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四、资本性支出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办公设备购置</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31003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专用设备购置</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31007</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信息网络及软件购置更新</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31099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其他资本性支出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r>
        <w:rPr>
          <w:rFonts w:hint="eastAsia" w:ascii="黑体" w:eastAsia="黑体" w:cs="宋体"/>
          <w:bCs/>
          <w:sz w:val="32"/>
          <w:szCs w:val="32"/>
        </w:rPr>
        <w:t>四、一般公共预算财政拨款“三公”经费支出表</w:t>
      </w:r>
    </w:p>
    <w:p>
      <w:pPr>
        <w:widowControl/>
        <w:ind w:firstLine="912" w:firstLineChars="200"/>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一般公共预算财政拨款“三公”经费支出表</w:t>
      </w:r>
    </w:p>
    <w:p>
      <w:pPr>
        <w:widowControl w:val="0"/>
        <w:jc w:val="both"/>
        <w:rPr>
          <w:rFonts w:hint="eastAsia" w:ascii="仿宋_GB2312" w:eastAsia="仿宋_GB2312" w:cs="宋体"/>
          <w:sz w:val="32"/>
          <w:szCs w:val="32"/>
        </w:rPr>
      </w:pPr>
      <w:r>
        <w:rPr>
          <w:rFonts w:hint="eastAsia" w:ascii="仿宋_GB2312" w:hAnsi="宋体" w:eastAsia="仿宋_GB2312"/>
          <w:kern w:val="0"/>
          <w:sz w:val="32"/>
          <w:szCs w:val="32"/>
        </w:rPr>
        <w:t xml:space="preserve">                                                                </w:t>
      </w:r>
      <w:r>
        <w:rPr>
          <w:rFonts w:hint="eastAsia" w:ascii="仿宋_GB2312" w:hAnsi="宋体" w:eastAsia="仿宋_GB2312" w:cs="宋体"/>
          <w:kern w:val="0"/>
          <w:sz w:val="32"/>
          <w:szCs w:val="32"/>
        </w:rPr>
        <w:t xml:space="preserve">  单位：万元</w:t>
      </w:r>
    </w:p>
    <w:tbl>
      <w:tblPr>
        <w:tblStyle w:val="5"/>
        <w:tblW w:w="0" w:type="auto"/>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2023年预算数</w:t>
            </w:r>
          </w:p>
        </w:tc>
        <w:tc>
          <w:tcPr>
            <w:tcW w:w="4626"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2023年执行数（决算数）</w:t>
            </w:r>
          </w:p>
        </w:tc>
        <w:tc>
          <w:tcPr>
            <w:tcW w:w="4626"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2024年预算数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合计</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公务接待费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合计</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公务接待费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合计</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jc w:val="left"/>
              <w:rPr>
                <w:rFonts w:hint="eastAsia" w:cs="宋体"/>
                <w:sz w:val="24"/>
                <w:szCs w:val="24"/>
              </w:rPr>
            </w:pPr>
            <w:r>
              <w:rPr>
                <w:rFonts w:hint="eastAsia" w:cs="宋体"/>
                <w:b/>
                <w:bCs/>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小计</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公务用车购置费</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小计</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公务用车购置费</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小计</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公务用车购置费</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noWrap/>
            <w:vAlign w:val="center"/>
          </w:tcPr>
          <w:p>
            <w:pPr>
              <w:widowControl/>
              <w:jc w:val="left"/>
              <w:rPr>
                <w:rFonts w:hint="eastAsia" w:cs="宋体"/>
                <w:sz w:val="24"/>
                <w:szCs w:val="24"/>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jc w:val="left"/>
              <w:rPr>
                <w:rFonts w:hint="eastAsia" w:cs="宋体"/>
                <w:sz w:val="24"/>
                <w:szCs w:val="24"/>
              </w:rPr>
            </w:pPr>
            <w:r>
              <w:rPr>
                <w:rFonts w:hint="eastAsia" w:cs="宋体"/>
                <w:b/>
                <w:bCs/>
                <w:sz w:val="22"/>
                <w:szCs w:val="22"/>
              </w:rPr>
              <w:t>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r>
    </w:tbl>
    <w:p>
      <w:pPr>
        <w:widowControl/>
        <w:ind w:firstLine="672" w:firstLineChars="200"/>
        <w:jc w:val="both"/>
        <w:outlineLvl w:val="1"/>
        <w:rPr>
          <w:rFonts w:hint="eastAsia" w:ascii="黑体" w:eastAsia="黑体" w:cs="宋体"/>
          <w:bCs/>
          <w:sz w:val="32"/>
          <w:szCs w:val="32"/>
        </w:rPr>
      </w:pPr>
      <w:r>
        <w:rPr>
          <w:rFonts w:hint="eastAsia" w:ascii="黑体" w:eastAsia="黑体" w:cs="宋体"/>
          <w:bCs/>
          <w:sz w:val="32"/>
          <w:szCs w:val="32"/>
        </w:rPr>
        <w:t>五、政府性基金预算财政拨款支出表</w:t>
      </w:r>
    </w:p>
    <w:p>
      <w:pPr>
        <w:jc w:val="left"/>
      </w:pPr>
    </w:p>
    <w:p>
      <w:pPr>
        <w:widowControl/>
        <w:jc w:val="center"/>
        <w:outlineLvl w:val="1"/>
        <w:rPr>
          <w:rFonts w:hint="eastAsia" w:ascii="仿宋_GB2312" w:eastAsia="仿宋_GB2312" w:cs="宋体"/>
          <w:b/>
          <w:sz w:val="36"/>
          <w:szCs w:val="36"/>
        </w:rPr>
      </w:pPr>
      <w:r>
        <w:rPr>
          <w:rFonts w:hint="eastAsia" w:ascii="仿宋_GB2312" w:eastAsia="仿宋_GB2312" w:cs="宋体"/>
          <w:b/>
          <w:sz w:val="36"/>
          <w:szCs w:val="36"/>
        </w:rPr>
        <w:t>政府性基金预算财政拨款支出表</w:t>
      </w:r>
    </w:p>
    <w:p>
      <w:pPr>
        <w:widowControl/>
        <w:ind w:firstLine="672" w:firstLineChars="200"/>
        <w:jc w:val="left"/>
        <w:outlineLvl w:val="1"/>
        <w:rPr>
          <w:rFonts w:hint="eastAsia" w:ascii="仿宋_GB2312" w:eastAsia="仿宋_GB2312" w:cs="宋体"/>
          <w:sz w:val="32"/>
          <w:szCs w:val="32"/>
        </w:rPr>
      </w:pPr>
      <w:r>
        <w:rPr>
          <w:rFonts w:hint="eastAsia" w:ascii="仿宋_GB2312" w:hAnsi="宋体" w:eastAsia="仿宋_GB2312"/>
          <w:kern w:val="0"/>
          <w:sz w:val="32"/>
          <w:szCs w:val="32"/>
        </w:rPr>
        <w:t xml:space="preserve">                                                                  </w:t>
      </w:r>
      <w:r>
        <w:rPr>
          <w:rFonts w:hint="eastAsia" w:ascii="仿宋_GB2312" w:eastAsia="仿宋_GB2312" w:cs="宋体"/>
          <w:sz w:val="32"/>
          <w:szCs w:val="32"/>
        </w:rPr>
        <w:t>单位：万元</w:t>
      </w:r>
    </w:p>
    <w:tbl>
      <w:tblPr>
        <w:tblStyle w:val="5"/>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功能分类科目</w:t>
            </w:r>
          </w:p>
        </w:tc>
        <w:tc>
          <w:tcPr>
            <w:tcW w:w="1418" w:type="dxa"/>
            <w:vMerge w:val="restart"/>
            <w:tcBorders>
              <w:top w:val="single" w:color="auto" w:sz="4" w:space="0"/>
              <w:left w:val="nil"/>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2023年执行数（决算数）</w:t>
            </w:r>
          </w:p>
          <w:p>
            <w:pPr>
              <w:widowControl/>
              <w:spacing w:line="240" w:lineRule="exact"/>
              <w:jc w:val="center"/>
              <w:rPr>
                <w:rFonts w:hint="eastAsia" w:cs="宋体"/>
                <w:b/>
                <w:bCs/>
                <w:sz w:val="22"/>
                <w:szCs w:val="22"/>
              </w:rPr>
            </w:pPr>
          </w:p>
        </w:tc>
        <w:tc>
          <w:tcPr>
            <w:tcW w:w="7090"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2024年预算数</w:t>
            </w:r>
          </w:p>
        </w:tc>
        <w:tc>
          <w:tcPr>
            <w:tcW w:w="2836" w:type="dxa"/>
            <w:gridSpan w:val="2"/>
            <w:tcBorders>
              <w:top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2024年预算数与2023年执行数（决算数）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科目编码</w:t>
            </w:r>
          </w:p>
        </w:tc>
        <w:tc>
          <w:tcPr>
            <w:tcW w:w="1418" w:type="dxa"/>
            <w:vMerge w:val="restart"/>
            <w:tcBorders>
              <w:top w:val="nil"/>
              <w:left w:val="nil"/>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科目名称</w:t>
            </w:r>
          </w:p>
        </w:tc>
        <w:tc>
          <w:tcPr>
            <w:tcW w:w="1418" w:type="dxa"/>
            <w:vMerge w:val="continue"/>
            <w:tcBorders>
              <w:left w:val="nil"/>
              <w:right w:val="single" w:color="auto" w:sz="4" w:space="0"/>
            </w:tcBorders>
            <w:noWrap/>
            <w:vAlign w:val="center"/>
          </w:tcPr>
          <w:p>
            <w:pPr>
              <w:widowControl/>
              <w:spacing w:line="240" w:lineRule="exact"/>
              <w:jc w:val="center"/>
              <w:rPr>
                <w:rFonts w:hint="eastAsia" w:cs="宋体"/>
                <w:b/>
                <w:bCs/>
                <w:sz w:val="22"/>
                <w:szCs w:val="22"/>
              </w:rPr>
            </w:pPr>
          </w:p>
        </w:tc>
        <w:tc>
          <w:tcPr>
            <w:tcW w:w="1418" w:type="dxa"/>
            <w:vMerge w:val="restart"/>
            <w:tcBorders>
              <w:top w:val="nil"/>
              <w:left w:val="nil"/>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合计</w:t>
            </w:r>
          </w:p>
        </w:tc>
        <w:tc>
          <w:tcPr>
            <w:tcW w:w="4254" w:type="dxa"/>
            <w:gridSpan w:val="3"/>
            <w:tcBorders>
              <w:top w:val="nil"/>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基本支出</w:t>
            </w:r>
          </w:p>
        </w:tc>
        <w:tc>
          <w:tcPr>
            <w:tcW w:w="1418" w:type="dxa"/>
            <w:vMerge w:val="restart"/>
            <w:tcBorders>
              <w:top w:val="single" w:color="auto" w:sz="4" w:space="0"/>
              <w:left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项目支出</w:t>
            </w:r>
          </w:p>
        </w:tc>
        <w:tc>
          <w:tcPr>
            <w:tcW w:w="1418" w:type="dxa"/>
            <w:vMerge w:val="restart"/>
            <w:tcBorders>
              <w:top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增减额</w:t>
            </w:r>
          </w:p>
        </w:tc>
        <w:tc>
          <w:tcPr>
            <w:tcW w:w="1418" w:type="dxa"/>
            <w:vMerge w:val="restart"/>
            <w:tcBorders>
              <w:top w:val="single" w:color="auto" w:sz="4" w:space="0"/>
              <w:left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noWrap/>
            <w:vAlign w:val="center"/>
          </w:tcPr>
          <w:p>
            <w:pPr>
              <w:jc w:val="left"/>
            </w:pPr>
          </w:p>
        </w:tc>
        <w:tc>
          <w:tcPr>
            <w:tcW w:w="1418" w:type="dxa"/>
            <w:vMerge w:val="continue"/>
            <w:tcBorders>
              <w:left w:val="nil"/>
              <w:bottom w:val="single" w:color="auto" w:sz="4" w:space="0"/>
              <w:right w:val="single" w:color="auto" w:sz="4" w:space="0"/>
            </w:tcBorders>
            <w:noWrap/>
            <w:vAlign w:val="center"/>
          </w:tcPr>
          <w:p>
            <w:pPr>
              <w:jc w:val="left"/>
            </w:pPr>
          </w:p>
        </w:tc>
        <w:tc>
          <w:tcPr>
            <w:tcW w:w="1418" w:type="dxa"/>
            <w:vMerge w:val="continue"/>
            <w:tcBorders>
              <w:left w:val="nil"/>
              <w:bottom w:val="single" w:color="auto" w:sz="4" w:space="0"/>
              <w:right w:val="single" w:color="auto" w:sz="4" w:space="0"/>
            </w:tcBorders>
            <w:noWrap/>
            <w:vAlign w:val="center"/>
          </w:tcPr>
          <w:p>
            <w:pPr>
              <w:jc w:val="left"/>
            </w:pPr>
          </w:p>
        </w:tc>
        <w:tc>
          <w:tcPr>
            <w:tcW w:w="1418" w:type="dxa"/>
            <w:vMerge w:val="continue"/>
            <w:tcBorders>
              <w:left w:val="nil"/>
              <w:bottom w:val="single" w:color="auto" w:sz="4" w:space="0"/>
              <w:right w:val="single" w:color="auto" w:sz="4" w:space="0"/>
            </w:tcBorders>
            <w:noWrap/>
            <w:vAlign w:val="center"/>
          </w:tcPr>
          <w:p>
            <w:pPr>
              <w:jc w:val="left"/>
            </w:pPr>
          </w:p>
        </w:tc>
        <w:tc>
          <w:tcPr>
            <w:tcW w:w="1418" w:type="dxa"/>
            <w:tcBorders>
              <w:top w:val="single" w:color="auto" w:sz="4" w:space="0"/>
              <w:left w:val="nil"/>
              <w:bottom w:val="single" w:color="auto" w:sz="4" w:space="0"/>
              <w:right w:val="single" w:color="auto" w:sz="4" w:space="0"/>
            </w:tcBorders>
            <w:noWrap/>
            <w:vAlign w:val="center"/>
          </w:tcPr>
          <w:p>
            <w:pPr>
              <w:widowControl w:val="0"/>
              <w:spacing w:line="240" w:lineRule="exact"/>
              <w:jc w:val="center"/>
              <w:rPr>
                <w:rFonts w:hint="eastAsia" w:cs="宋体"/>
                <w:b/>
                <w:bCs/>
                <w:sz w:val="22"/>
                <w:szCs w:val="22"/>
              </w:rPr>
            </w:pPr>
            <w:r>
              <w:rPr>
                <w:rFonts w:hint="eastAsia" w:cs="宋体"/>
                <w:b/>
                <w:bCs/>
                <w:sz w:val="22"/>
                <w:szCs w:val="22"/>
              </w:rPr>
              <w:t>小计</w:t>
            </w:r>
          </w:p>
        </w:tc>
        <w:tc>
          <w:tcPr>
            <w:tcW w:w="1418" w:type="dxa"/>
            <w:tcBorders>
              <w:top w:val="single" w:color="auto" w:sz="4" w:space="0"/>
              <w:left w:val="nil"/>
              <w:bottom w:val="single" w:color="auto" w:sz="4" w:space="0"/>
              <w:right w:val="single" w:color="auto" w:sz="4" w:space="0"/>
            </w:tcBorders>
            <w:noWrap/>
            <w:vAlign w:val="center"/>
          </w:tcPr>
          <w:p>
            <w:pPr>
              <w:widowControl w:val="0"/>
              <w:spacing w:line="240" w:lineRule="exact"/>
              <w:jc w:val="center"/>
              <w:rPr>
                <w:rFonts w:hint="eastAsia" w:cs="宋体"/>
                <w:b/>
                <w:bCs/>
                <w:sz w:val="22"/>
                <w:szCs w:val="22"/>
              </w:rPr>
            </w:pPr>
            <w:r>
              <w:rPr>
                <w:rFonts w:hint="eastAsia" w:cs="宋体"/>
                <w:b/>
                <w:bCs/>
                <w:sz w:val="22"/>
                <w:szCs w:val="22"/>
              </w:rPr>
              <w:t>人员经费</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exact"/>
              <w:jc w:val="center"/>
              <w:rPr>
                <w:rFonts w:hint="eastAsia" w:cs="宋体"/>
                <w:b/>
                <w:bCs/>
                <w:sz w:val="22"/>
                <w:szCs w:val="22"/>
              </w:rPr>
            </w:pPr>
            <w:r>
              <w:rPr>
                <w:rFonts w:hint="eastAsia" w:cs="宋体"/>
                <w:b/>
                <w:bCs/>
                <w:sz w:val="22"/>
                <w:szCs w:val="22"/>
              </w:rPr>
              <w:t>日常公用经费</w:t>
            </w:r>
          </w:p>
        </w:tc>
        <w:tc>
          <w:tcPr>
            <w:tcW w:w="1418" w:type="dxa"/>
            <w:vMerge w:val="continue"/>
            <w:tcBorders>
              <w:left w:val="single" w:color="auto" w:sz="4" w:space="0"/>
              <w:bottom w:val="single" w:color="auto" w:sz="4" w:space="0"/>
              <w:right w:val="single" w:color="auto" w:sz="4" w:space="0"/>
            </w:tcBorders>
            <w:noWrap/>
            <w:vAlign w:val="center"/>
          </w:tcPr>
          <w:p>
            <w:pPr>
              <w:jc w:val="left"/>
            </w:pPr>
          </w:p>
        </w:tc>
        <w:tc>
          <w:tcPr>
            <w:tcW w:w="1418" w:type="dxa"/>
            <w:vMerge w:val="continue"/>
            <w:tcBorders>
              <w:bottom w:val="single" w:color="auto" w:sz="4" w:space="0"/>
              <w:right w:val="single" w:color="auto" w:sz="4" w:space="0"/>
            </w:tcBorders>
            <w:noWrap/>
            <w:vAlign w:val="center"/>
          </w:tcPr>
          <w:p>
            <w:pPr>
              <w:jc w:val="left"/>
            </w:pPr>
          </w:p>
        </w:tc>
        <w:tc>
          <w:tcPr>
            <w:tcW w:w="1418" w:type="dxa"/>
            <w:vMerge w:val="continue"/>
            <w:tcBorders>
              <w:left w:val="single" w:color="auto" w:sz="4" w:space="0"/>
              <w:bottom w:val="single" w:color="auto" w:sz="4" w:space="0"/>
              <w:right w:val="single" w:color="auto" w:sz="4" w:space="0"/>
            </w:tcBorders>
            <w:noWrap/>
            <w:vAlign w:val="center"/>
          </w:tcPr>
          <w:p>
            <w:pPr>
              <w:jc w:val="left"/>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bottom w:val="single" w:color="auto" w:sz="4" w:space="0"/>
              <w:right w:val="single" w:color="auto" w:sz="4" w:space="0"/>
            </w:tcBorders>
            <w:noWrap/>
          </w:tcPr>
          <w:p>
            <w:pPr>
              <w:jc w:val="left"/>
            </w:pPr>
          </w:p>
        </w:tc>
        <w:tc>
          <w:tcPr>
            <w:tcW w:w="1418" w:type="dxa"/>
            <w:tcBorders>
              <w:top w:val="single" w:color="auto" w:sz="4" w:space="0"/>
              <w:bottom w:val="single" w:color="auto" w:sz="4" w:space="0"/>
              <w:right w:val="single" w:color="auto" w:sz="4" w:space="0"/>
            </w:tcBorders>
            <w:noWrap/>
          </w:tcPr>
          <w:p>
            <w:pPr>
              <w:jc w:val="left"/>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single" w:color="auto" w:sz="4" w:space="0"/>
              <w:bottom w:val="single" w:color="auto" w:sz="4" w:space="0"/>
              <w:right w:val="single" w:color="auto" w:sz="4" w:space="0"/>
            </w:tcBorders>
            <w:noWrap/>
          </w:tcPr>
          <w:p>
            <w:pPr>
              <w:jc w:val="left"/>
            </w:pPr>
          </w:p>
        </w:tc>
        <w:tc>
          <w:tcPr>
            <w:tcW w:w="1418" w:type="dxa"/>
            <w:tcBorders>
              <w:top w:val="single" w:color="auto" w:sz="4" w:space="0"/>
              <w:bottom w:val="single" w:color="auto" w:sz="4" w:space="0"/>
              <w:right w:val="single" w:color="auto" w:sz="4" w:space="0"/>
            </w:tcBorders>
            <w:noWrap/>
          </w:tcPr>
          <w:p>
            <w:pPr>
              <w:jc w:val="left"/>
            </w:pPr>
          </w:p>
        </w:tc>
      </w:tr>
    </w:tbl>
    <w:p>
      <w:pPr>
        <w:widowControl/>
        <w:ind w:firstLine="672" w:firstLineChars="200"/>
        <w:jc w:val="both"/>
        <w:outlineLvl w:val="1"/>
        <w:rPr>
          <w:rFonts w:hint="eastAsia" w:ascii="黑体" w:eastAsia="黑体" w:cs="宋体"/>
          <w:bCs/>
          <w:sz w:val="32"/>
          <w:szCs w:val="32"/>
        </w:rPr>
      </w:pPr>
      <w:r>
        <w:rPr>
          <w:rFonts w:hint="eastAsia" w:ascii="黑体" w:eastAsia="黑体" w:cs="宋体"/>
          <w:bCs/>
          <w:sz w:val="32"/>
          <w:szCs w:val="32"/>
        </w:rPr>
        <w:t>六、部门收支预算总表</w:t>
      </w:r>
    </w:p>
    <w:p>
      <w:pPr>
        <w:widowControl/>
        <w:spacing w:line="560" w:lineRule="exact"/>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部门收支预算总表</w:t>
      </w:r>
    </w:p>
    <w:p>
      <w:pPr>
        <w:widowControl/>
        <w:jc w:val="left"/>
        <w:outlineLvl w:val="1"/>
        <w:rPr>
          <w:rFonts w:hint="eastAsia" w:ascii="仿宋_GB2312" w:eastAsia="仿宋_GB2312" w:cs="宋体"/>
          <w:sz w:val="32"/>
          <w:szCs w:val="32"/>
        </w:rPr>
      </w:pPr>
      <w:r>
        <w:rPr>
          <w:rFonts w:hint="eastAsia" w:ascii="仿宋_GB2312" w:hAnsi="宋体" w:eastAsia="仿宋_GB2312"/>
          <w:kern w:val="0"/>
          <w:sz w:val="32"/>
          <w:szCs w:val="32"/>
        </w:rPr>
        <w:t xml:space="preserve">                                                                  </w:t>
      </w:r>
      <w:r>
        <w:rPr>
          <w:rFonts w:hint="eastAsia" w:ascii="仿宋_GB2312" w:eastAsia="仿宋_GB2312" w:cs="宋体"/>
          <w:sz w:val="32"/>
          <w:szCs w:val="32"/>
        </w:rPr>
        <w:t>单位：万元</w:t>
      </w:r>
    </w:p>
    <w:tbl>
      <w:tblPr>
        <w:tblStyle w:val="5"/>
        <w:tblW w:w="0" w:type="auto"/>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收     入</w:t>
            </w:r>
          </w:p>
        </w:tc>
        <w:tc>
          <w:tcPr>
            <w:tcW w:w="6822" w:type="dxa"/>
            <w:gridSpan w:val="2"/>
            <w:tcBorders>
              <w:top w:val="single" w:color="000000" w:sz="4" w:space="0"/>
              <w:left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（1）一般公共预算财政拨款收入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r>
              <w:rPr>
                <w:rFonts w:hint="eastAsia" w:cs="宋体"/>
                <w:color w:val="000000"/>
                <w:sz w:val="22"/>
                <w:szCs w:val="22"/>
              </w:rPr>
              <w:t>其中：财政拨款支出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r>
              <w:rPr>
                <w:rFonts w:hint="eastAsia" w:cs="宋体"/>
                <w:color w:val="000000"/>
                <w:sz w:val="22"/>
                <w:szCs w:val="22"/>
              </w:rPr>
              <w:t>非同级财政拨款支出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r>
              <w:rPr>
                <w:rFonts w:hint="eastAsia" w:cs="宋体"/>
                <w:color w:val="000000"/>
                <w:sz w:val="22"/>
                <w:szCs w:val="22"/>
              </w:rPr>
              <w:t>其中：财政拨款支出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r>
              <w:rPr>
                <w:rFonts w:hint="eastAsia" w:cs="宋体"/>
                <w:color w:val="000000"/>
                <w:sz w:val="22"/>
                <w:szCs w:val="22"/>
              </w:rPr>
              <w:t>非同级财政拨款支出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453" w:hRule="atLeast"/>
        </w:trPr>
        <w:tc>
          <w:tcPr>
            <w:tcW w:w="523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（1）财政拨款结转</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（1）财政拨款结转</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（2）非财政拨款结转</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（2）财政拨款结余</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（3）非财政拨款结转</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（1）财政拨款结余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（4）非财政拨款结余</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（2）非财政拨款结余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（5）专用结余</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（3）专用结余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（6）经营结余</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（4）经营结余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r>
    </w:tbl>
    <w:p>
      <w:pPr>
        <w:jc w:val="left"/>
      </w:pPr>
    </w:p>
    <w:p>
      <w:pPr>
        <w:jc w:val="left"/>
      </w:pPr>
    </w:p>
    <w:p>
      <w:pPr>
        <w:jc w:val="left"/>
      </w:pPr>
    </w:p>
    <w:p>
      <w:pPr>
        <w:jc w:val="left"/>
      </w:pPr>
    </w:p>
    <w:p>
      <w:pPr>
        <w:jc w:val="left"/>
      </w:pPr>
    </w:p>
    <w:p>
      <w:pPr>
        <w:jc w:val="left"/>
      </w:pPr>
    </w:p>
    <w:p>
      <w:pPr>
        <w:jc w:val="left"/>
      </w:pPr>
    </w:p>
    <w:p>
      <w:pPr>
        <w:widowControl/>
        <w:jc w:val="left"/>
        <w:outlineLvl w:val="1"/>
        <w:rPr>
          <w:rFonts w:hint="eastAsia" w:ascii="黑体" w:eastAsia="黑体" w:cs="宋体"/>
          <w:sz w:val="32"/>
          <w:szCs w:val="32"/>
        </w:rPr>
      </w:pPr>
      <w:r>
        <w:rPr>
          <w:rFonts w:hint="eastAsia" w:ascii="黑体" w:eastAsia="黑体" w:cs="宋体"/>
          <w:sz w:val="32"/>
          <w:szCs w:val="32"/>
        </w:rPr>
        <w:t>七、部门收入总表</w:t>
      </w:r>
    </w:p>
    <w:p>
      <w:pPr>
        <w:widowControl/>
        <w:jc w:val="center"/>
        <w:outlineLvl w:val="1"/>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部门收入总表</w:t>
      </w:r>
    </w:p>
    <w:p>
      <w:pPr>
        <w:jc w:val="left"/>
      </w:pPr>
      <w:r>
        <w:rPr>
          <w:rFonts w:hint="eastAsia" w:ascii="仿宋_GB2312" w:hAnsi="宋体" w:eastAsia="仿宋_GB2312"/>
          <w:kern w:val="0"/>
          <w:sz w:val="32"/>
          <w:szCs w:val="32"/>
        </w:rPr>
        <w:t xml:space="preserve">                                                                  </w:t>
      </w:r>
      <w:r>
        <w:rPr>
          <w:rFonts w:hint="eastAsia" w:ascii="仿宋_GB2312" w:eastAsia="仿宋_GB2312" w:cs="宋体"/>
          <w:sz w:val="32"/>
          <w:szCs w:val="32"/>
        </w:rPr>
        <w:t>单位：万元</w:t>
      </w:r>
    </w:p>
    <w:tbl>
      <w:tblPr>
        <w:tblStyle w:val="5"/>
        <w:tblW w:w="0" w:type="auto"/>
        <w:tblInd w:w="93" w:type="dxa"/>
        <w:tblLayout w:type="fixed"/>
        <w:tblCellMar>
          <w:top w:w="15" w:type="dxa"/>
          <w:left w:w="108" w:type="dxa"/>
          <w:bottom w:w="15" w:type="dxa"/>
          <w:right w:w="108"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小计</w:t>
            </w: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小计</w:t>
            </w:r>
          </w:p>
        </w:tc>
        <w:tc>
          <w:tcPr>
            <w:tcW w:w="860" w:type="dxa"/>
            <w:tcBorders>
              <w:top w:val="single" w:color="000000" w:sz="4" w:space="0"/>
              <w:bottom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其中：</w:t>
            </w:r>
          </w:p>
        </w:tc>
        <w:tc>
          <w:tcPr>
            <w:tcW w:w="839" w:type="dxa"/>
            <w:tcBorders>
              <w:top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r>
      <w:tr>
        <w:tblPrEx>
          <w:tblCellMar>
            <w:top w:w="15" w:type="dxa"/>
            <w:left w:w="108" w:type="dxa"/>
            <w:bottom w:w="15" w:type="dxa"/>
            <w:right w:w="108" w:type="dxa"/>
          </w:tblCellMar>
        </w:tblPrEx>
        <w:trPr>
          <w:trHeight w:val="624"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eastAsia="宋体" w:cs="Arial"/>
                <w:color w:val="000000"/>
                <w:sz w:val="22"/>
                <w:szCs w:val="22"/>
                <w:lang w:eastAsia="zh-CN"/>
              </w:rPr>
            </w:pPr>
            <w:r>
              <w:rPr>
                <w:rFonts w:hint="eastAsia" w:cs="Arial"/>
                <w:color w:val="000000"/>
                <w:sz w:val="22"/>
                <w:szCs w:val="22"/>
              </w:rPr>
              <w:t>4176</w:t>
            </w:r>
            <w:r>
              <w:rPr>
                <w:rFonts w:hint="eastAsia" w:cs="Arial"/>
                <w:color w:val="000000"/>
                <w:sz w:val="22"/>
                <w:szCs w:val="22"/>
                <w:lang w:eastAsia="zh-CN"/>
              </w:rPr>
              <w:t>.</w:t>
            </w:r>
            <w:r>
              <w:rPr>
                <w:rFonts w:hint="eastAsia" w:cs="Arial"/>
                <w:color w:val="000000"/>
                <w:sz w:val="22"/>
                <w:szCs w:val="22"/>
              </w:rPr>
              <w:t>86</w:t>
            </w: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center"/>
              <w:rPr>
                <w:rFonts w:hint="eastAsia" w:cs="Arial"/>
                <w:color w:val="000000"/>
                <w:sz w:val="22"/>
                <w:szCs w:val="22"/>
              </w:rPr>
            </w:pPr>
            <w:r>
              <w:rPr>
                <w:rFonts w:hint="eastAsia" w:cs="Arial"/>
                <w:color w:val="000000"/>
                <w:sz w:val="22"/>
                <w:szCs w:val="22"/>
              </w:rPr>
              <w:t>4176</w:t>
            </w:r>
            <w:r>
              <w:rPr>
                <w:rFonts w:hint="eastAsia" w:cs="Arial"/>
                <w:color w:val="000000"/>
                <w:sz w:val="22"/>
                <w:szCs w:val="22"/>
                <w:lang w:eastAsia="zh-CN"/>
              </w:rPr>
              <w:t>.</w:t>
            </w:r>
            <w:r>
              <w:rPr>
                <w:rFonts w:hint="eastAsia" w:cs="Arial"/>
                <w:color w:val="000000"/>
                <w:sz w:val="22"/>
                <w:szCs w:val="22"/>
              </w:rPr>
              <w:t>86</w:t>
            </w: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center"/>
              <w:rPr>
                <w:rFonts w:hint="eastAsia" w:cs="Arial"/>
                <w:color w:val="000000"/>
                <w:sz w:val="22"/>
                <w:szCs w:val="22"/>
              </w:rPr>
            </w:pPr>
            <w:r>
              <w:rPr>
                <w:rFonts w:hint="eastAsia" w:cs="Arial"/>
                <w:color w:val="000000"/>
                <w:sz w:val="22"/>
                <w:szCs w:val="22"/>
              </w:rPr>
              <w:t>4176</w:t>
            </w:r>
            <w:r>
              <w:rPr>
                <w:rFonts w:hint="eastAsia" w:cs="Arial"/>
                <w:color w:val="000000"/>
                <w:sz w:val="22"/>
                <w:szCs w:val="22"/>
                <w:lang w:eastAsia="zh-CN"/>
              </w:rPr>
              <w:t>.</w:t>
            </w:r>
            <w:r>
              <w:rPr>
                <w:rFonts w:hint="eastAsia" w:cs="Arial"/>
                <w:color w:val="000000"/>
                <w:sz w:val="22"/>
                <w:szCs w:val="22"/>
              </w:rPr>
              <w:t>86</w:t>
            </w: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6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r>
    </w:tbl>
    <w:p>
      <w:pPr>
        <w:widowControl/>
        <w:ind w:firstLine="672" w:firstLineChars="200"/>
        <w:jc w:val="left"/>
        <w:outlineLvl w:val="1"/>
        <w:rPr>
          <w:rFonts w:hint="eastAsia" w:ascii="黑体" w:eastAsia="黑体" w:cs="宋体"/>
          <w:sz w:val="32"/>
          <w:szCs w:val="32"/>
        </w:rPr>
      </w:pPr>
      <w:r>
        <w:rPr>
          <w:rFonts w:hint="eastAsia" w:ascii="黑体" w:eastAsia="黑体" w:cs="宋体"/>
          <w:sz w:val="32"/>
          <w:szCs w:val="32"/>
        </w:rPr>
        <w:t>八、部门支出总表</w:t>
      </w:r>
    </w:p>
    <w:p>
      <w:pPr>
        <w:jc w:val="center"/>
      </w:pPr>
      <w:r>
        <w:rPr>
          <w:rFonts w:hint="eastAsia" w:ascii="方正小标宋简体" w:hAnsi="方正小标宋简体" w:eastAsia="方正小标宋简体" w:cs="方正小标宋简体"/>
          <w:sz w:val="36"/>
          <w:szCs w:val="36"/>
        </w:rPr>
        <w:t>部门支出总表</w:t>
      </w:r>
    </w:p>
    <w:p>
      <w:pPr>
        <w:widowControl w:val="0"/>
        <w:jc w:val="left"/>
        <w:rPr>
          <w:rFonts w:hint="eastAsia" w:ascii="仿宋_GB2312" w:eastAsia="仿宋_GB2312" w:cs="宋体"/>
          <w:sz w:val="32"/>
          <w:szCs w:val="32"/>
        </w:rPr>
      </w:pPr>
      <w:r>
        <w:rPr>
          <w:rFonts w:hint="eastAsia" w:ascii="仿宋_GB2312" w:hAnsi="宋体" w:eastAsia="仿宋_GB2312"/>
          <w:kern w:val="0"/>
          <w:sz w:val="32"/>
          <w:szCs w:val="32"/>
        </w:rPr>
        <w:t xml:space="preserve">                                                                  </w:t>
      </w:r>
      <w:r>
        <w:rPr>
          <w:rFonts w:hint="eastAsia" w:ascii="仿宋_GB2312" w:eastAsia="仿宋_GB2312" w:cs="宋体"/>
          <w:sz w:val="32"/>
          <w:szCs w:val="32"/>
        </w:rPr>
        <w:t>单位：万元</w:t>
      </w:r>
    </w:p>
    <w:tbl>
      <w:tblPr>
        <w:tblStyle w:val="5"/>
        <w:tblW w:w="0" w:type="auto"/>
        <w:tblInd w:w="93" w:type="dxa"/>
        <w:tblLayout w:type="fixed"/>
        <w:tblCellMar>
          <w:top w:w="15" w:type="dxa"/>
          <w:left w:w="108" w:type="dxa"/>
          <w:bottom w:w="15" w:type="dxa"/>
          <w:right w:w="108" w:type="dxa"/>
        </w:tblCellMar>
      </w:tblPr>
      <w:tblGrid>
        <w:gridCol w:w="1995"/>
        <w:gridCol w:w="1706"/>
        <w:gridCol w:w="1559"/>
        <w:gridCol w:w="686"/>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科目编码</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本年支出合计</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行政支出</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2019999</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78.39</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78.39</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2080505</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187.91</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187.91</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2080506</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93.95</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93.95</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2101103</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22.91</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22.91</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2101199</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77.03</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77.03</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2120101</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1779.37</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1779.37</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2120104</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95</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95</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2120199</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583</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583</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2210107</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373</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373</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2210108</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627</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627</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2210201</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167.99</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167.99</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2210203</w:t>
            </w:r>
          </w:p>
        </w:tc>
        <w:tc>
          <w:tcPr>
            <w:tcW w:w="170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r>
              <w:rPr>
                <w:rFonts w:hint="eastAsia" w:cs="宋体"/>
                <w:color w:val="000000"/>
                <w:sz w:val="18"/>
                <w:szCs w:val="18"/>
              </w:rPr>
              <w:t>91.31</w:t>
            </w:r>
          </w:p>
        </w:tc>
        <w:tc>
          <w:tcPr>
            <w:tcW w:w="1559"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r>
              <w:rPr>
                <w:rFonts w:hint="eastAsia" w:cs="宋体"/>
                <w:color w:val="000000"/>
                <w:sz w:val="18"/>
                <w:szCs w:val="18"/>
              </w:rPr>
              <w:t>91.31</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bl>
    <w:p>
      <w:pPr>
        <w:jc w:val="left"/>
        <w:sectPr>
          <w:pgSz w:w="16838" w:h="11906" w:orient="landscape"/>
          <w:pgMar w:top="1797" w:right="1440" w:bottom="1797" w:left="1440" w:header="851" w:footer="992" w:gutter="0"/>
          <w:pgNumType w:fmt="numberInDash"/>
          <w:cols w:space="720" w:num="1"/>
          <w:docGrid w:type="linesAndChars" w:linePitch="312" w:charSpace="0"/>
        </w:sectPr>
      </w:pPr>
    </w:p>
    <w:p>
      <w:pPr>
        <w:widowControl/>
        <w:spacing w:line="560" w:lineRule="exact"/>
        <w:jc w:val="center"/>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原州区综合执法局本级2024年部门预算——部门预算情况说明</w:t>
      </w:r>
    </w:p>
    <w:p>
      <w:pPr>
        <w:jc w:val="left"/>
      </w:pPr>
    </w:p>
    <w:p>
      <w:pPr>
        <w:widowControl/>
        <w:spacing w:line="560" w:lineRule="exact"/>
        <w:ind w:firstLine="672" w:firstLineChars="200"/>
        <w:jc w:val="both"/>
        <w:rPr>
          <w:rFonts w:hint="eastAsia" w:ascii="黑体" w:eastAsia="黑体" w:cs="宋体"/>
          <w:sz w:val="32"/>
          <w:szCs w:val="32"/>
        </w:rPr>
      </w:pPr>
      <w:r>
        <w:rPr>
          <w:rFonts w:hint="eastAsia" w:ascii="黑体" w:eastAsia="黑体" w:cs="宋体"/>
          <w:sz w:val="32"/>
          <w:szCs w:val="32"/>
        </w:rPr>
        <w:t>一、关于原州区综合执法局本级2024年财政拨款收支预算情况的总体说明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本级2024年财政拨款收入预算4176.86万元，其中：本年收入4176.86万元，包括一般公共预算拨款4176.86万元，政府性基金预算拨款0万元；上年结转结余0万元。财政拨款支出预算4176.86万元，包括：一般公共服务支出78.39万元、社会保障和就业支出281.86万元、卫生健康支出99.94万元、城乡社区支出2457.37万元、住房保障支出1259.3万元。</w:t>
      </w:r>
    </w:p>
    <w:p>
      <w:pPr>
        <w:widowControl/>
        <w:spacing w:line="560" w:lineRule="exact"/>
        <w:ind w:firstLine="480"/>
        <w:jc w:val="both"/>
        <w:rPr>
          <w:rFonts w:hint="eastAsia" w:ascii="黑体" w:eastAsia="黑体" w:cs="宋体"/>
          <w:sz w:val="32"/>
          <w:szCs w:val="32"/>
        </w:rPr>
      </w:pPr>
      <w:r>
        <w:rPr>
          <w:rFonts w:hint="eastAsia" w:ascii="黑体" w:eastAsia="黑体" w:cs="宋体"/>
          <w:sz w:val="32"/>
          <w:szCs w:val="32"/>
        </w:rPr>
        <w:t>二、关于原州区综合执法局本级2024年一般公共预算财政拨款支出情况说明</w:t>
      </w:r>
    </w:p>
    <w:p>
      <w:pPr>
        <w:widowControl/>
        <w:spacing w:line="560" w:lineRule="exact"/>
        <w:ind w:firstLine="480"/>
        <w:jc w:val="both"/>
        <w:rPr>
          <w:rFonts w:hint="eastAsia" w:ascii="楷体_GB2312" w:eastAsia="楷体_GB2312" w:cs="宋体"/>
          <w:b/>
          <w:bCs/>
          <w:sz w:val="32"/>
          <w:szCs w:val="32"/>
        </w:rPr>
      </w:pPr>
      <w:r>
        <w:rPr>
          <w:rFonts w:hint="eastAsia" w:ascii="楷体_GB2312" w:eastAsia="楷体_GB2312" w:cs="宋体"/>
          <w:b/>
          <w:bCs/>
          <w:sz w:val="32"/>
          <w:szCs w:val="32"/>
        </w:rPr>
        <w:t>（一）基本支出情况说明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原州区综合执法局本级2024年一般公共预算财政拨款基本支出4176.86万元，其中：本年收入安排支出4176.86万元，上年结转资金安排支出0万元。比2023年执行数（决算数）减少9397.56万元，下降69.23%。</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人员经费2352.39万元，主要包括：基本工资606.23万元、津贴补贴379.73万元、奖金458.59万元、社会保障缴费386.56万元、绩效工资255.84万元、退休费4.63万元、住房公积金167.99万元、购房补贴91.31万元、其他对个人和家庭的补助支出1.51万元。</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公用经费146.47万元，主要包括：办公费32.97万元、印刷费3.5万元、水费3.08万元、邮电费3万元、取暖费7.44万元、差旅费9.5万元、因维修（护）费7.5万元、专用材料费20万元、委托业务费3万元、工会经费17.43万元、其他交通费10.97万元、其他商品和服务支出28.08万元。</w:t>
      </w:r>
    </w:p>
    <w:p>
      <w:pPr>
        <w:widowControl/>
        <w:spacing w:line="560" w:lineRule="exact"/>
        <w:ind w:firstLine="480"/>
        <w:jc w:val="both"/>
        <w:rPr>
          <w:rFonts w:hint="eastAsia" w:ascii="楷体_GB2312" w:eastAsia="楷体_GB2312" w:cs="宋体"/>
          <w:b/>
          <w:bCs/>
          <w:sz w:val="32"/>
          <w:szCs w:val="32"/>
        </w:rPr>
      </w:pPr>
      <w:r>
        <w:rPr>
          <w:rFonts w:hint="eastAsia" w:ascii="楷体_GB2312" w:eastAsia="楷体_GB2312" w:cs="宋体"/>
          <w:b/>
          <w:bCs/>
          <w:sz w:val="32"/>
          <w:szCs w:val="32"/>
        </w:rPr>
        <w:t>（二）项目支出情况说明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汇总2024年一般公共预算财政拨款项目支出1678万元，其中：本年收入安排支出1678万元，上年结转结余资金安排支出0万元。包括：城乡社区支出（类）城乡社区管理事务（款）城管执法（项）2024年预算95万元，比2023年执行数（决算数）减少450万元，下降82.57%。主要用于城管执法协管人员工资和执法车辆燃油费、保险费及维修费；城乡社区支出（类）城乡社区环境卫生（款）城乡社区环境卫生2024年预算583万元，比2023年执行数（决算数）减少4403.7万元，下降88.31%。主要用于天楹环卫一体化清扫保洁外包费；住房保障支出（类）保障性安居工程支出（款）保障性住房租金补贴（项）2024年预算373万元，比2023年执行数（决算数）减少138.79万元，下降27.12%。主要用于公租房租赁补贴；住房保障支出（类）保障性安居工程支出（款）老旧小区改造（项）2024年预算627万元，比2023年执行数（决算数）减少1657.1万元，下降72.55%。主要用于老旧小区改造项目费。</w:t>
      </w:r>
    </w:p>
    <w:p>
      <w:pPr>
        <w:widowControl/>
        <w:numPr>
          <w:ilvl w:val="0"/>
          <w:numId w:val="1"/>
        </w:numPr>
        <w:spacing w:line="560" w:lineRule="exact"/>
        <w:ind w:firstLine="480"/>
        <w:jc w:val="both"/>
        <w:rPr>
          <w:rFonts w:hint="eastAsia" w:ascii="黑体" w:eastAsia="黑体" w:cs="宋体"/>
          <w:sz w:val="32"/>
          <w:szCs w:val="32"/>
        </w:rPr>
      </w:pPr>
      <w:r>
        <w:rPr>
          <w:rFonts w:hint="eastAsia" w:ascii="黑体" w:eastAsia="黑体" w:cs="宋体"/>
          <w:sz w:val="32"/>
          <w:szCs w:val="32"/>
        </w:rPr>
        <w:t>关于原州区综合执法局本级2024年一般公共预算财政拨款“三公”经费预算情况说明</w:t>
      </w:r>
    </w:p>
    <w:p>
      <w:pPr>
        <w:widowControl/>
        <w:spacing w:line="560" w:lineRule="exact"/>
        <w:jc w:val="both"/>
        <w:rPr>
          <w:rFonts w:hint="eastAsia" w:ascii="仿宋_GB2312" w:eastAsia="仿宋_GB2312" w:cs="宋体"/>
          <w:sz w:val="32"/>
          <w:szCs w:val="32"/>
        </w:rPr>
      </w:pPr>
      <w:r>
        <w:rPr>
          <w:rFonts w:hint="eastAsia" w:ascii="仿宋_GB2312" w:eastAsia="仿宋_GB2312" w:cs="宋体"/>
          <w:sz w:val="32"/>
          <w:szCs w:val="32"/>
        </w:rPr>
        <w:t>原州区综合执法局本级2024年“三公”经费财政拨款预算数为0万元，其中：因公出国（境）费0万元，公务用车购置0万元，公务用车运行费0万元，公务接待费0 万元。</w:t>
      </w:r>
    </w:p>
    <w:p>
      <w:pPr>
        <w:widowControl/>
        <w:spacing w:line="560" w:lineRule="exact"/>
        <w:jc w:val="both"/>
        <w:rPr>
          <w:rFonts w:hint="eastAsia" w:ascii="仿宋_GB2312" w:eastAsia="仿宋_GB2312" w:cs="宋体"/>
          <w:sz w:val="32"/>
          <w:szCs w:val="32"/>
        </w:rPr>
      </w:pPr>
      <w:r>
        <w:rPr>
          <w:rFonts w:hint="eastAsia" w:ascii="仿宋_GB2312" w:eastAsia="仿宋_GB2312" w:cs="宋体"/>
          <w:sz w:val="32"/>
          <w:szCs w:val="32"/>
        </w:rPr>
        <w:t>2024年“三公”经费财政拨款预算比2023年增加（减少）0万元，其中：因公出国（境）费增加（减少）0万元，主要原因无；公务用车购置费增加（减少）0万元，主要原因无；公务用车运行费增加（减少）万元，主要原因无；公务接待费增加（减少）0万元，主要原因无。</w:t>
      </w:r>
    </w:p>
    <w:p>
      <w:pPr>
        <w:widowControl/>
        <w:spacing w:line="560" w:lineRule="exact"/>
        <w:ind w:firstLine="480"/>
        <w:jc w:val="both"/>
        <w:rPr>
          <w:rFonts w:hint="eastAsia" w:ascii="黑体" w:eastAsia="黑体" w:cs="宋体"/>
          <w:sz w:val="32"/>
          <w:szCs w:val="32"/>
        </w:rPr>
      </w:pPr>
      <w:r>
        <w:rPr>
          <w:rFonts w:hint="eastAsia" w:ascii="黑体" w:eastAsia="黑体" w:cs="宋体"/>
          <w:sz w:val="32"/>
          <w:szCs w:val="32"/>
        </w:rPr>
        <w:t>四、关于原州区综合执法局本级2024年政府性基金预算拨款情况说明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原州区综合执法局本级2024年无政府性基金预算财政拨款收支(没有政府性基金预算的单位填写)。</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本级2024年政府性基金预算财政拨款收入0万元，用于。政府性基金预算财政拨款支出预算0万元(按政府收支科目类、款、项，用途分项说明)（有提前下达政府性基金专项的单位如实填写-原州区残联、民政局、教体局、体育中心）</w:t>
      </w:r>
    </w:p>
    <w:p>
      <w:pPr>
        <w:widowControl/>
        <w:spacing w:line="560" w:lineRule="exact"/>
        <w:jc w:val="both"/>
        <w:rPr>
          <w:rFonts w:hint="eastAsia" w:ascii="黑体" w:eastAsia="黑体" w:cs="宋体"/>
          <w:sz w:val="32"/>
          <w:szCs w:val="32"/>
        </w:rPr>
      </w:pPr>
      <w:r>
        <w:rPr>
          <w:rFonts w:hint="eastAsia" w:ascii="黑体" w:eastAsia="黑体" w:cs="宋体"/>
          <w:sz w:val="32"/>
          <w:szCs w:val="32"/>
        </w:rPr>
        <w:t>五、关于原州区综合执法局本级2024年收支预算情况的总体说明</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原州区综合执法局本级2024年收入总预算4176.86万元，其中：本年收入4176.86万元，上年结转结余0万元；支出总预算4176.86万元，其中：本年支出4176.86万元，年末结转结余0万元。</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本年收入包括：财政拨款预算收入4176.86万元，占100%；事业预算收入0万元，占0；上级补助预算收入0万元，占0；附属单位上缴预算收入0万元，占0；经营预算收入0万元，占0；债务预算收入0万元，占0；非同级财政拨款预算收入0万元，占0；投资预算收益0万元，占0；其他预算收入0万元，占0。</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本年支出包括：行政支出4176.86万元，占100%；事业支出0万元，占0；经营支出0万元，占0；上缴上级支出0万元，占0；对附属单位补助支出0万元，占0；投资支出0万元，占0；债务还本支出0万元，占0；其他支出0万元，占0。</w:t>
      </w:r>
    </w:p>
    <w:p>
      <w:pPr>
        <w:widowControl/>
        <w:spacing w:line="560" w:lineRule="exact"/>
        <w:ind w:firstLine="480"/>
        <w:jc w:val="both"/>
        <w:rPr>
          <w:rFonts w:hint="eastAsia" w:ascii="黑体" w:eastAsia="黑体" w:cs="宋体"/>
          <w:sz w:val="32"/>
          <w:szCs w:val="32"/>
        </w:rPr>
      </w:pPr>
      <w:r>
        <w:rPr>
          <w:rFonts w:hint="eastAsia" w:ascii="黑体" w:eastAsia="黑体" w:cs="宋体"/>
          <w:sz w:val="32"/>
          <w:szCs w:val="32"/>
        </w:rPr>
        <w:t>六、其他重要事项的情况说明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（一）机关运行经费（行政单位）或事业运行经费（事业单位）</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2024年，原州区综合执法局本级及所属原州区城市管理执法监察大队、原州区住房保障和物业管理中心、原州区土地房屋征收办公室 1 个行政单位和……(所属单位名称)等  个参公管理事业单位的机关运行经费财政拨款预算146.47万元，比2023年预算增加7.32万元，增长5.26 %。主要原因是：2024年有新增人员和调入人员。主要包括：办公费32.97万元、印刷费3.5万元、水费3.08万元、邮电费3万元、取暖费7.44万元、差旅费9.5万元、维修（护）费7.5万元、专用燃料费20万元、委托业务费3万元、工会经费17.43万元、其他交通费10.97万元、其他商品和服务支出28.08万元。</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（二）政府采购情况</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2024年，原州区综合执法局本级政府采购预算2.97万元，其中：政府采购货物预算2.97万元，政府采购工程预算0万元，政府采购服务预算0万元。</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（三）国有资产占用使用情况</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截至2023年12月31日，原州区综合执法局本级占用使用国有资产总体情况为房屋132</w:t>
      </w:r>
      <w:r>
        <w:rPr>
          <w:rFonts w:hint="eastAsia" w:ascii="仿宋_GB2312" w:eastAsia="仿宋_GB2312" w:cs="宋体"/>
          <w:sz w:val="32"/>
          <w:szCs w:val="32"/>
          <w:lang w:val="en-US" w:eastAsia="zh-CN"/>
        </w:rPr>
        <w:t>1</w:t>
      </w:r>
      <w:r>
        <w:rPr>
          <w:rFonts w:hint="eastAsia" w:ascii="仿宋_GB2312" w:eastAsia="仿宋_GB2312" w:cs="宋体"/>
          <w:sz w:val="32"/>
          <w:szCs w:val="32"/>
        </w:rPr>
        <w:t>平方米，价值108.</w:t>
      </w:r>
      <w:r>
        <w:rPr>
          <w:rFonts w:hint="eastAsia" w:ascii="仿宋_GB2312" w:eastAsia="仿宋_GB2312" w:cs="宋体"/>
          <w:sz w:val="32"/>
          <w:szCs w:val="32"/>
          <w:lang w:val="en-US" w:eastAsia="zh-CN"/>
        </w:rPr>
        <w:t>55</w:t>
      </w:r>
      <w:r>
        <w:rPr>
          <w:rFonts w:hint="eastAsia" w:ascii="仿宋_GB2312" w:eastAsia="仿宋_GB2312" w:cs="宋体"/>
          <w:sz w:val="32"/>
          <w:szCs w:val="32"/>
        </w:rPr>
        <w:t>万元；土地0平方米，价值0万元；车辆20辆，价值142.33万元；办公家具价值</w:t>
      </w:r>
      <w:r>
        <w:rPr>
          <w:rFonts w:hint="eastAsia" w:ascii="仿宋_GB2312" w:eastAsia="仿宋_GB2312" w:cs="宋体"/>
          <w:sz w:val="32"/>
          <w:szCs w:val="32"/>
          <w:lang w:val="en-US" w:eastAsia="zh-CN"/>
        </w:rPr>
        <w:t>38.97</w:t>
      </w:r>
      <w:r>
        <w:rPr>
          <w:rFonts w:hint="eastAsia" w:ascii="仿宋_GB2312" w:eastAsia="仿宋_GB2312" w:cs="宋体"/>
          <w:sz w:val="32"/>
          <w:szCs w:val="32"/>
        </w:rPr>
        <w:t>万元；其他资产价值</w:t>
      </w:r>
      <w:r>
        <w:rPr>
          <w:rFonts w:hint="eastAsia" w:ascii="仿宋_GB2312" w:eastAsia="仿宋_GB2312" w:cs="宋体"/>
          <w:sz w:val="32"/>
          <w:szCs w:val="32"/>
          <w:lang w:val="en-US" w:eastAsia="zh-CN"/>
        </w:rPr>
        <w:t>322.5</w:t>
      </w:r>
      <w:r>
        <w:rPr>
          <w:rFonts w:hint="eastAsia" w:ascii="仿宋_GB2312" w:eastAsia="仿宋_GB2312" w:cs="宋体"/>
          <w:sz w:val="32"/>
          <w:szCs w:val="32"/>
        </w:rPr>
        <w:t>万元。</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国有资产分布情况为：本级部门房屋132</w:t>
      </w:r>
      <w:r>
        <w:rPr>
          <w:rFonts w:hint="eastAsia" w:ascii="仿宋_GB2312" w:eastAsia="仿宋_GB2312" w:cs="宋体"/>
          <w:sz w:val="32"/>
          <w:szCs w:val="32"/>
          <w:lang w:val="en-US" w:eastAsia="zh-CN"/>
        </w:rPr>
        <w:t>1</w:t>
      </w:r>
      <w:r>
        <w:rPr>
          <w:rFonts w:hint="eastAsia" w:ascii="仿宋_GB2312" w:eastAsia="仿宋_GB2312" w:cs="宋体"/>
          <w:sz w:val="32"/>
          <w:szCs w:val="32"/>
        </w:rPr>
        <w:t>平方米，价值    108.</w:t>
      </w:r>
      <w:r>
        <w:rPr>
          <w:rFonts w:hint="eastAsia" w:ascii="仿宋_GB2312" w:eastAsia="仿宋_GB2312" w:cs="宋体"/>
          <w:sz w:val="32"/>
          <w:szCs w:val="32"/>
          <w:lang w:val="en-US" w:eastAsia="zh-CN"/>
        </w:rPr>
        <w:t>55</w:t>
      </w:r>
      <w:r>
        <w:rPr>
          <w:rFonts w:hint="eastAsia" w:ascii="仿宋_GB2312" w:eastAsia="仿宋_GB2312" w:cs="宋体"/>
          <w:sz w:val="32"/>
          <w:szCs w:val="32"/>
        </w:rPr>
        <w:t>万元；土地0平方米，价值0万元；车辆20辆，价值142.33万元；办公家具价值</w:t>
      </w:r>
      <w:r>
        <w:rPr>
          <w:rFonts w:hint="eastAsia" w:ascii="仿宋_GB2312" w:eastAsia="仿宋_GB2312" w:cs="宋体"/>
          <w:sz w:val="32"/>
          <w:szCs w:val="32"/>
          <w:lang w:val="en-US" w:eastAsia="zh-CN"/>
        </w:rPr>
        <w:t>38.97</w:t>
      </w:r>
      <w:r>
        <w:rPr>
          <w:rFonts w:hint="eastAsia" w:ascii="仿宋_GB2312" w:eastAsia="仿宋_GB2312" w:cs="宋体"/>
          <w:sz w:val="32"/>
          <w:szCs w:val="32"/>
        </w:rPr>
        <w:t>万元；其他资产价值</w:t>
      </w:r>
      <w:r>
        <w:rPr>
          <w:rFonts w:hint="eastAsia" w:ascii="仿宋_GB2312" w:eastAsia="仿宋_GB2312" w:cs="宋体"/>
          <w:sz w:val="32"/>
          <w:szCs w:val="32"/>
          <w:lang w:val="en-US" w:eastAsia="zh-CN"/>
        </w:rPr>
        <w:t>322.5</w:t>
      </w:r>
      <w:r>
        <w:rPr>
          <w:rFonts w:hint="eastAsia" w:ascii="仿宋_GB2312" w:eastAsia="仿宋_GB2312" w:cs="宋体"/>
          <w:sz w:val="32"/>
          <w:szCs w:val="32"/>
        </w:rPr>
        <w:t>万元。所属单位房屋0平方米，价值0万元；土地0平方米，价值</w:t>
      </w:r>
      <w:r>
        <w:rPr>
          <w:rFonts w:hint="eastAsia" w:ascii="仿宋_GB2312" w:eastAsia="仿宋_GB2312" w:cs="宋体"/>
          <w:sz w:val="32"/>
          <w:szCs w:val="32"/>
          <w:lang w:val="en-US" w:eastAsia="zh-CN"/>
        </w:rPr>
        <w:t>0</w:t>
      </w:r>
      <w:r>
        <w:rPr>
          <w:rFonts w:hint="eastAsia" w:ascii="仿宋_GB2312" w:eastAsia="仿宋_GB2312" w:cs="宋体"/>
          <w:sz w:val="32"/>
          <w:szCs w:val="32"/>
        </w:rPr>
        <w:t>万元；车辆0辆，价值0万元；办公家具价值0万元；其他资产价值0万元。</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（四）预算绩效情况</w:t>
      </w:r>
      <w:r>
        <w:rPr>
          <w:rFonts w:hint="eastAsia" w:ascii="仿宋_GB2312" w:eastAsia="仿宋_GB2312" w:cs="宋体"/>
          <w:b/>
          <w:bCs/>
          <w:sz w:val="32"/>
          <w:szCs w:val="32"/>
        </w:rPr>
        <w:t>（单位必须如实填报）</w:t>
      </w:r>
      <w:bookmarkStart w:id="0" w:name="_GoBack"/>
      <w:bookmarkEnd w:id="0"/>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2024年原州区综合执法局本级预算绩效开展工作计划重点项目绩效评价,根据财政预算管理要求,共涉及预算资金4176.86万元，自评覆盖率达到100%,在预算执行过程中，及时根据项目进度拨付资金，项目完成后按要求组织人员进行验收，并出具验收报告。</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2024年原州区综合执法局本级公开绩效目标的项目概述：1.临聘人员支出-城管协管员工资91万元，保障城市管理执法监察协管人员正常薪酬和工作积极性；2.执法车辆燃油费、保险费、维修费4万元，用于城市市容管理、违法建设查处、城市道路开挖占用、户外广告宣传、建筑工地管理、渣土运输管理等城市管理执法车辆的燃油、车辆保险及车辆维修；3.城市环卫绿化支出-天楹环保一体化服务费583万元，对城区南至高速公路入口、北至北环路、东至东环路、西至大营河区域内的全部道路、人行道、公园广场和大街小巷完成道路清扫面积9805411.2平方米；                                                                              中转站运营管理35座，公厕运营管理41座，对道路清扫保洁区域内垃圾箱、垃圾桶及中转站垃圾进行清运工作；4.公租房租赁补贴373万元，对低收入住房保障对象2024年租赁补贴发放计划1615户；4.固原市区2024年老旧小区改造项目627万元，完成固原市区2023年老旧小区改造项目，物资小区，中山花园，康乐园，荣丰苑，恒新小区5个小区楼体改造和室外配套基础设施改造。</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（五）其他需说明的事项</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原州区综合执法局本级无其他说明的事项。</w:t>
      </w:r>
    </w:p>
    <w:p>
      <w:pPr>
        <w:jc w:val="left"/>
      </w:pPr>
    </w:p>
    <w:p>
      <w:pPr>
        <w:jc w:val="left"/>
      </w:pPr>
      <w:r>
        <w:rPr>
          <w:rFonts w:hint="eastAsia"/>
        </w:rPr>
        <w:t>……</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widowControl/>
        <w:spacing w:line="560" w:lineRule="exact"/>
        <w:jc w:val="center"/>
        <w:outlineLvl w:val="1"/>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原州区综合执法局本级2024年部门预算——名词解释</w:t>
      </w:r>
    </w:p>
    <w:p>
      <w:pPr>
        <w:jc w:val="left"/>
      </w:pP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1、支出功能分类科目编码、名称：按照《2024年政府收支分类科目》“类”、“款”、“项”的编码和名称填列</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2、本年收入：是指单位本年度取得的全部收入。</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3、上年结转：是指单位上年结转本年使用的基本支出结转、项目支出结转和结余和经营结余。</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4、本年支出：是指单位本年度全部支出。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5、财政拨款收入：是指单位本年度从本级财政部门取得的财政拨款，包括一般公共预算财政拨款和政府性基金预算财政拨款。</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6、事业收入：是指事业单位开展专业业务活动及其辅助活动取得的收入。</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7、经营收入：是指事业单位在专业业务活动及其辅助活动之外开展非独立核算经营活动取得的收入。</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8、其他收入：是指单位取得的除“财政拨款收入”、“事业收入”、“经营收入”等以外的各项收入。</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9、基本支出：是指单位为保障机构正常运转、完成日常工作任务而发生的各项支出。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10、项目支出：是指单位为完成特定的行政工作任务或事业发展目标，在基本支出之外发生的各项支出。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11、人员经费：是指单位基本支出中用一般公共预算财政拨款安排的“工资福利支出”和“对个人和家庭的补助”。</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12、日常公用支出：是指单位用一般公共预算财政拨款安排的除人员经费以外的基本支出。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三公”经费：纳入财政预决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60" w:lineRule="exact"/>
        <w:jc w:val="both"/>
        <w:rPr>
          <w:rFonts w:hint="eastAsia" w:ascii="仿宋_GB2312" w:hAnsi="仿宋_GB2312" w:eastAsia="仿宋_GB2312" w:cs="仿宋_GB2312"/>
          <w:sz w:val="32"/>
          <w:szCs w:val="32"/>
        </w:rPr>
      </w:pPr>
    </w:p>
    <w:p>
      <w:pPr>
        <w:widowControl w:val="0"/>
        <w:spacing w:line="560" w:lineRule="exact"/>
        <w:jc w:val="both"/>
        <w:rPr>
          <w:rFonts w:hint="eastAsia" w:ascii="仿宋_GB2312" w:hAnsi="仿宋_GB2312" w:eastAsia="仿宋_GB2312" w:cs="仿宋_GB2312"/>
          <w:sz w:val="32"/>
          <w:szCs w:val="32"/>
        </w:rPr>
      </w:pPr>
    </w:p>
    <w:sectPr>
      <w:footerReference r:id="rId4" w:type="default"/>
      <w:footerReference r:id="rId5" w:type="even"/>
      <w:pgSz w:w="11906" w:h="16838"/>
      <w:pgMar w:top="2098" w:right="1474" w:bottom="1984" w:left="1587"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- 26 -</w:t>
                </w:r>
                <w:r>
                  <w:rPr>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path/>
          <v:fill on="f" focussize="0,0"/>
          <v:stroke on="f" weight="0.5pt" joinstyle="miter"/>
          <v:imagedata o:title=""/>
          <o:lock v:ext="edit"/>
          <v:textbox inset="0mm,0mm,0mm,0mm" style="mso-fit-shape-to-text:t;">
            <w:txbxContent>
              <w:p>
                <w:pPr>
                  <w:pStyle w:val="3"/>
                  <w:rPr>
                    <w:rStyle w:val="7"/>
                    <w:sz w:val="28"/>
                    <w:szCs w:val="28"/>
                  </w:rPr>
                </w:pPr>
                <w:r>
                  <w:rPr>
                    <w:sz w:val="28"/>
                    <w:szCs w:val="28"/>
                  </w:rPr>
                  <w:fldChar w:fldCharType="begin"/>
                </w:r>
                <w:r>
                  <w:rPr>
                    <w:rStyle w:val="7"/>
                    <w:rFonts w:ascii="Times New Roman" w:hAnsi="Times New Roman" w:cs="Times New Roman"/>
                    <w:sz w:val="28"/>
                    <w:szCs w:val="28"/>
                  </w:rPr>
                  <w:instrText xml:space="preserve">PAGE  </w:instrText>
                </w:r>
                <w:r>
                  <w:rPr>
                    <w:sz w:val="28"/>
                    <w:szCs w:val="28"/>
                  </w:rPr>
                  <w:fldChar w:fldCharType="separate"/>
                </w:r>
                <w:r>
                  <w:rPr>
                    <w:rStyle w:val="7"/>
                    <w:rFonts w:ascii="Times New Roman" w:hAnsi="Times New Roman" w:cs="Times New Roman"/>
                    <w:sz w:val="28"/>
                    <w:szCs w:val="28"/>
                  </w:rPr>
                  <w:t>- 35 -</w:t>
                </w:r>
                <w:r>
                  <w:rPr>
                    <w:sz w:val="28"/>
                    <w:szCs w:val="28"/>
                  </w:rPr>
                  <w:fldChar w:fldCharType="end"/>
                </w:r>
              </w:p>
              <w:p/>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Fonts w:ascii="Times New Roman" w:hAnsi="Times New Roman" w:cs="Times New Roman"/>
      </w:rPr>
      <w:instrText xml:space="preserve">PAGE  </w:instrText>
    </w:r>
    <w:r>
      <w:fldChar w:fldCharType="end"/>
    </w:r>
  </w:p>
  <w:p>
    <w:pPr>
      <w:pStyle w:val="3"/>
      <w:ind w:right="360" w:firstLine="360"/>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532AD"/>
    <w:multiLevelType w:val="singleLevel"/>
    <w:tmpl w:val="606532AD"/>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lkZGM4MTM4M2U1ODk2ODhiNzczOTU2Y2E4NmUwMzQifQ=="/>
  </w:docVars>
  <w:rsids>
    <w:rsidRoot w:val="71E94178"/>
    <w:rsid w:val="00015461"/>
    <w:rsid w:val="000305EA"/>
    <w:rsid w:val="00110A8F"/>
    <w:rsid w:val="00140CAC"/>
    <w:rsid w:val="00187360"/>
    <w:rsid w:val="00187C86"/>
    <w:rsid w:val="00193337"/>
    <w:rsid w:val="001B2127"/>
    <w:rsid w:val="002404C1"/>
    <w:rsid w:val="00244193"/>
    <w:rsid w:val="00294054"/>
    <w:rsid w:val="00353749"/>
    <w:rsid w:val="003D3AD7"/>
    <w:rsid w:val="00411F19"/>
    <w:rsid w:val="004140D0"/>
    <w:rsid w:val="00483031"/>
    <w:rsid w:val="004B630B"/>
    <w:rsid w:val="005332A5"/>
    <w:rsid w:val="005570C3"/>
    <w:rsid w:val="00564547"/>
    <w:rsid w:val="0057074D"/>
    <w:rsid w:val="005E3EB8"/>
    <w:rsid w:val="006005A6"/>
    <w:rsid w:val="00621F71"/>
    <w:rsid w:val="006777E8"/>
    <w:rsid w:val="006D0BD1"/>
    <w:rsid w:val="006E4090"/>
    <w:rsid w:val="00747E1E"/>
    <w:rsid w:val="007D6A4C"/>
    <w:rsid w:val="00994C20"/>
    <w:rsid w:val="009A2595"/>
    <w:rsid w:val="00A00E8A"/>
    <w:rsid w:val="00A32DC2"/>
    <w:rsid w:val="00A7652E"/>
    <w:rsid w:val="00A92465"/>
    <w:rsid w:val="00A969F6"/>
    <w:rsid w:val="00B02E57"/>
    <w:rsid w:val="00B419C4"/>
    <w:rsid w:val="00B4468F"/>
    <w:rsid w:val="00B60C4E"/>
    <w:rsid w:val="00B61485"/>
    <w:rsid w:val="00B75FD3"/>
    <w:rsid w:val="00C03547"/>
    <w:rsid w:val="00C270DE"/>
    <w:rsid w:val="00C95E8E"/>
    <w:rsid w:val="00D34F3A"/>
    <w:rsid w:val="00E0408E"/>
    <w:rsid w:val="00E66870"/>
    <w:rsid w:val="00E91592"/>
    <w:rsid w:val="00EB1D5D"/>
    <w:rsid w:val="00EC773A"/>
    <w:rsid w:val="00ED43A1"/>
    <w:rsid w:val="00F247F4"/>
    <w:rsid w:val="00F644F6"/>
    <w:rsid w:val="01AD03D1"/>
    <w:rsid w:val="035C2778"/>
    <w:rsid w:val="052C0B14"/>
    <w:rsid w:val="0B903ADE"/>
    <w:rsid w:val="0B9335CE"/>
    <w:rsid w:val="0BEF0928"/>
    <w:rsid w:val="0C71552C"/>
    <w:rsid w:val="0E8D6A54"/>
    <w:rsid w:val="0FB029A1"/>
    <w:rsid w:val="0FF705D0"/>
    <w:rsid w:val="145C06AD"/>
    <w:rsid w:val="161B48EC"/>
    <w:rsid w:val="175470E6"/>
    <w:rsid w:val="18043949"/>
    <w:rsid w:val="18F41B50"/>
    <w:rsid w:val="19D06B34"/>
    <w:rsid w:val="1A9F0EEA"/>
    <w:rsid w:val="1C554A30"/>
    <w:rsid w:val="21413899"/>
    <w:rsid w:val="21B04A82"/>
    <w:rsid w:val="21D84004"/>
    <w:rsid w:val="249828C7"/>
    <w:rsid w:val="25D41CEB"/>
    <w:rsid w:val="260E1C77"/>
    <w:rsid w:val="273F5648"/>
    <w:rsid w:val="2915596A"/>
    <w:rsid w:val="2935476F"/>
    <w:rsid w:val="2BD001FB"/>
    <w:rsid w:val="2C367E69"/>
    <w:rsid w:val="2FF1571A"/>
    <w:rsid w:val="31017739"/>
    <w:rsid w:val="31716B10"/>
    <w:rsid w:val="39B06F76"/>
    <w:rsid w:val="3A055959"/>
    <w:rsid w:val="4124537B"/>
    <w:rsid w:val="431F7177"/>
    <w:rsid w:val="44A86C5A"/>
    <w:rsid w:val="45766AD4"/>
    <w:rsid w:val="47035A15"/>
    <w:rsid w:val="4D27359B"/>
    <w:rsid w:val="4FC754CE"/>
    <w:rsid w:val="50CF01D2"/>
    <w:rsid w:val="523A2856"/>
    <w:rsid w:val="54A930AA"/>
    <w:rsid w:val="56A96DCC"/>
    <w:rsid w:val="57BD4B8F"/>
    <w:rsid w:val="591734E0"/>
    <w:rsid w:val="5A5C27C7"/>
    <w:rsid w:val="5E2B3F4F"/>
    <w:rsid w:val="624B3430"/>
    <w:rsid w:val="648C7E7C"/>
    <w:rsid w:val="670047E9"/>
    <w:rsid w:val="6813619F"/>
    <w:rsid w:val="69560966"/>
    <w:rsid w:val="6AB161D5"/>
    <w:rsid w:val="6C522FE7"/>
    <w:rsid w:val="6CC76DD2"/>
    <w:rsid w:val="6EC9433B"/>
    <w:rsid w:val="71E94178"/>
    <w:rsid w:val="724C51C6"/>
    <w:rsid w:val="72FB430F"/>
    <w:rsid w:val="72FF2541"/>
    <w:rsid w:val="73DB1B0A"/>
    <w:rsid w:val="75FF3277"/>
    <w:rsid w:val="76F0023E"/>
    <w:rsid w:val="7BB825EB"/>
    <w:rsid w:val="7BD55DED"/>
    <w:rsid w:val="7E386B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center"/>
    </w:pPr>
    <w:rPr>
      <w:rFonts w:ascii="宋体" w:hAnsi="宋体" w:eastAsia="宋体" w:cs="Arial"/>
      <w:color w:val="000000"/>
      <w:spacing w:val="8"/>
      <w:sz w:val="30"/>
      <w:szCs w:val="30"/>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qFormat/>
    <w:uiPriority w:val="0"/>
    <w:pPr>
      <w:widowControl w:val="0"/>
      <w:tabs>
        <w:tab w:val="center" w:pos="4153"/>
        <w:tab w:val="right" w:pos="8306"/>
      </w:tabs>
      <w:snapToGrid w:val="0"/>
    </w:pPr>
    <w:rPr>
      <w:rFonts w:ascii="宋体" w:hAnsi="宋体" w:eastAsia="宋体" w:cs="宋体"/>
      <w:spacing w:val="8"/>
      <w:sz w:val="18"/>
      <w:szCs w:val="18"/>
      <w:lang w:val="en-US" w:eastAsia="zh-CN" w:bidi="ar-SA"/>
    </w:rPr>
  </w:style>
  <w:style w:type="paragraph" w:styleId="4">
    <w:name w:val="header"/>
    <w:basedOn w:val="1"/>
    <w:link w:val="8"/>
    <w:autoRedefine/>
    <w:uiPriority w:val="0"/>
    <w:pPr>
      <w:pBdr>
        <w:bottom w:val="single" w:color="auto" w:sz="6" w:space="1"/>
      </w:pBdr>
      <w:tabs>
        <w:tab w:val="center" w:pos="4153"/>
        <w:tab w:val="right" w:pos="8306"/>
      </w:tabs>
      <w:snapToGrid w:val="0"/>
    </w:pPr>
    <w:rPr>
      <w:sz w:val="18"/>
      <w:szCs w:val="18"/>
    </w:rPr>
  </w:style>
  <w:style w:type="character" w:styleId="7">
    <w:name w:val="page number"/>
    <w:qFormat/>
    <w:uiPriority w:val="0"/>
  </w:style>
  <w:style w:type="character" w:customStyle="1" w:styleId="8">
    <w:name w:val="页眉 Char"/>
    <w:basedOn w:val="6"/>
    <w:link w:val="4"/>
    <w:autoRedefine/>
    <w:uiPriority w:val="0"/>
    <w:rPr>
      <w:rFonts w:ascii="宋体" w:hAnsi="宋体" w:eastAsia="宋体" w:cs="宋体"/>
      <w:spacing w:val="8"/>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E7FA4-5C14-4158-BCCE-D7021D57FB0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8385</Words>
  <Characters>1663</Characters>
  <Lines>13</Lines>
  <Paragraphs>20</Paragraphs>
  <TotalTime>14</TotalTime>
  <ScaleCrop>false</ScaleCrop>
  <LinksUpToDate>false</LinksUpToDate>
  <CharactersWithSpaces>10028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2024-02-04T09:15:00Z</dcterms:created>
  <dc:creator>刘丽</dc:creator>
  <cp:lastModifiedBy>刘丽</cp:lastModifiedBy>
  <dcterms:modified xsi:type="dcterms:W3CDTF">2024-02-06T01:22:34Z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85CE0EED30D14D9888F5FEC3417C46BB_11</vt:lpwstr>
  </property>
</Properties>
</file>