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 w:val="28"/>
          <w:szCs w:val="28"/>
        </w:rPr>
      </w:pPr>
    </w:p>
    <w:p>
      <w:pPr>
        <w:spacing w:line="600" w:lineRule="exact"/>
        <w:jc w:val="center"/>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32"/>
          <w:szCs w:val="32"/>
          <w:lang w:eastAsia="zh-CN"/>
        </w:rPr>
      </w:pPr>
    </w:p>
    <w:p>
      <w:pPr>
        <w:spacing w:line="600" w:lineRule="exact"/>
        <w:jc w:val="center"/>
        <w:rPr>
          <w:rFonts w:hint="eastAsia" w:ascii="仿宋_GB2312" w:eastAsia="仿宋_GB2312"/>
          <w:sz w:val="32"/>
          <w:szCs w:val="32"/>
        </w:rPr>
      </w:pPr>
      <w:r>
        <w:rPr>
          <w:rFonts w:hint="eastAsia" w:ascii="仿宋_GB2312" w:eastAsia="仿宋_GB2312"/>
          <w:sz w:val="32"/>
          <w:szCs w:val="32"/>
          <w:lang w:eastAsia="zh-CN"/>
        </w:rPr>
        <w:t>炭</w:t>
      </w:r>
      <w:r>
        <w:rPr>
          <w:rFonts w:hint="eastAsia" w:ascii="仿宋_GB2312" w:eastAsia="仿宋_GB2312"/>
          <w:sz w:val="32"/>
          <w:szCs w:val="32"/>
        </w:rPr>
        <w:t>政发〔20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w:t>
      </w:r>
    </w:p>
    <w:p>
      <w:pPr>
        <w:spacing w:line="600" w:lineRule="exact"/>
        <w:rPr>
          <w:rFonts w:hint="eastAsia" w:ascii="方正小标宋简体" w:eastAsia="方正小标宋简体"/>
          <w:spacing w:val="-20"/>
          <w:sz w:val="32"/>
          <w:szCs w:val="32"/>
        </w:rPr>
      </w:pPr>
    </w:p>
    <w:p>
      <w:pPr>
        <w:keepNext w:val="0"/>
        <w:keepLines w:val="0"/>
        <w:pageBreakBefore w:val="0"/>
        <w:widowControl/>
        <w:suppressLineNumbers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炭山乡人民政府关于2021年度</w:t>
      </w:r>
    </w:p>
    <w:p>
      <w:pPr>
        <w:keepNext w:val="0"/>
        <w:keepLines w:val="0"/>
        <w:pageBreakBefore w:val="0"/>
        <w:widowControl/>
        <w:suppressLineNumbers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法治政府建设情况的报告</w:t>
      </w:r>
    </w:p>
    <w:p>
      <w:pPr>
        <w:keepNext w:val="0"/>
        <w:keepLines w:val="0"/>
        <w:pageBreakBefore w:val="0"/>
        <w:kinsoku/>
        <w:wordWrap/>
        <w:overflowPunct/>
        <w:topLinePunct w:val="0"/>
        <w:autoSpaceDE/>
        <w:autoSpaceDN/>
        <w:bidi w:val="0"/>
        <w:adjustRightInd/>
        <w:spacing w:line="54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2021年，炭山乡按照原州区法治政府建设工作安排部署，坚持以习近平新时代中国特色社会主义思想为指导，深入学习贯彻习近平法治思想，全面贯彻落实党的十九大和十九届历次全会精神，全面落实《法治政府建设实施纲要（2021-2025年）》，围绕全乡经济社会发展实际，牢固树立执政为民理念，坚持依法履行法定职责，不断规范乡机关行政行为，积极推动社会治理工作，全乡法治政府工作扎实有序推进。现将炭山乡2021年度法治政府建设情况报告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黑体" w:hAnsi="黑体" w:eastAsia="黑体" w:cs="黑体"/>
          <w:sz w:val="32"/>
          <w:szCs w:val="32"/>
          <w:lang w:val="en-US" w:eastAsia="zh-CN"/>
        </w:rPr>
        <w:t>一、2021年度推进法治政府建设的主要举措和成效</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楷体_GB2312" w:hAnsi="楷体_GB2312" w:eastAsia="楷体_GB2312" w:cs="楷体_GB2312"/>
          <w:b/>
          <w:bCs/>
          <w:sz w:val="32"/>
          <w:szCs w:val="32"/>
          <w:lang w:val="en-US" w:eastAsia="zh-CN"/>
        </w:rPr>
        <w:t>（一）强化组织领导，认真抓好法治政府责任落实</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及时调整完善工作机构。根据乡党政班子成员调整情况，及时调整炭山乡法治政府建设工作领导小组，明确了乡村、各办公室（中心）的工作职责。</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及时明确年度工作目标任务。年初及时了召开法治政府建设工作专题会议，政府主要领导与分管领导签订了《炭山乡人民政府行政负责人履行法治政府建设分管责任人职责清单责任书》，根据全区2021年工作安排制定了《炭山乡法治政府建设2021年工作要点》，与各村签订目标责任书，将法治政府建设工作纳入了目标管理考核和干部年度考核，确保任务明确、责任到人。</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注重强化法治政府建设工作保障。乡法治政府建设工作领导小组下设办公室，办公室设在综治中心，明确了具体工作人员负责日常工作开展，为法治政府建设工作有序推进奠定了基础。</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楷体_GB2312" w:hAnsi="楷体_GB2312" w:eastAsia="楷体_GB2312" w:cs="楷体_GB2312"/>
          <w:b/>
          <w:bCs/>
          <w:sz w:val="32"/>
          <w:szCs w:val="32"/>
          <w:lang w:val="en-US" w:eastAsia="zh-CN"/>
        </w:rPr>
        <w:t>（二）强化制度体系建设，不断完善法治政府长效机制</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进一步完善了依法决策工作制度。坚持重大事项、疑难复杂事项法律顾问参与或事前征询意见，促进了政府决策科学化、民主化、法制化。</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积极落实法律顾问制度和区司法局指派各村法律顾问制度。与宁夏朔北律师事务所毛亚金律师签订了2021年法律顾问合同，保证了全乡行政事务的合法规范。</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认真执行党务政务公开制度，及时将政府工作报告、财政预决算、涉农资金、民生工程、政府工作动态及其他涉及群众切身利益的相关情况在政务公开栏、公众信息网等平台公布。</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（三）强化宣传教育，法治政府意识深入人心</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坚持领导干部带头学法制度。坚持党委会议、党委中心组学习会议和干部会议等会前学法制度，学习法律法规，建立了学习台账和学习档案。</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认真组织开展法治宣传月活动。通过在乡机关、学校、村部和重要路口悬挂宣传横幅，发放法治宣传手册等方式，努力提高法律法规、行政执法工作的知晓度和支持度，有效提高了广大干部群众参与普法活动的积极性，进一步增强了法治宣传互动性和教育效果，宣传月期间累计发放各类宣传资料2000多份，接受群众咨询300多人次。</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加大教育培训力度。通过会议集中学习、组织专题培训等方式，先后组织全体乡村干部对习近平法治思想、《宪法》《民法典》《国家安全法》《反间谍法》《保密法》《安全生产法》等法律法规进行了系统学习。</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（四）强化社会治理，积极构建法治政府制度体系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重点加强对党员违纪、刑事犯罪、社会治安等违纪违法行为的整治，确保全乡无重大刑事案件、重大违纪违法行为等情况发生，同时加大对黄赌毒等违法行为排查和不良风气的劝导纠正，努力推动全乡群众养成好习惯，形成好风气。</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加大矛盾纠纷排查化解力度，坚持疏导情绪、察访实情、议事论理。结合矛盾纠纷排查化解“百日攻坚”专项行动，通过定期排查和重点排查相结合等方式，共排查各类矛盾纠纷152起，化解146起，化解率96%，无群体性事件发生。</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加强“三调联动”联动机制，进一步整合各办公室（中心）、公安和司法等力量，健全调解组织网络体系，有效促进了全乡信访维稳、环境卫生整治、道路交通安全等工作不断规范化、法治化，全乡群众初步形成了办事依法、遇事找法、解决问题用法、化解矛盾靠法的法治思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黑体" w:hAnsi="黑体" w:eastAsia="黑体" w:cs="黑体"/>
          <w:sz w:val="32"/>
          <w:szCs w:val="32"/>
          <w:lang w:val="en-US" w:eastAsia="zh-CN"/>
        </w:rPr>
        <w:t>二、2021年党政主要负责人履行推进法治政府建设第一责任职责情况</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（一）强化领导责任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坚决贯彻法治政府建设的工作要求，层层传导压力，压实工作责任，优化工作部署，强化督导落实，确保各项工作抓实落地。</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为确保工作取得实效，将法治建设工作纳入我乡经济社会发展总体规划，作为年度目标考核指标。</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注重强化法治政府建设工作保障，在人力物力上大力支持，为法治政府建设工作有序推进奠定了基础。</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（二）坚持依法执政</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坚持民主集中制，健全决策机制。始终坚持民主集中制，不凭主观臆断，不搞“一言堂”，严格按照决策程序办事，力求决策科学正确。凡重大事项，都在充分调查研究、广泛征求意见的基础上，通过集体研究讨论等多环节决定。</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坚持党务政务公开，主动接受监督。及时公布党务、政务应公示的内容，广泛接受党员群众监督，不断增强党组织工作的透明度。</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坚持督查整改，确保落实到位。对群众关心、社会关注的与群众利益息息相关的问题进行监督，排查法治建设中的突出问题，及时提出建设性的整改意见，并督促整改到位。</w:t>
      </w:r>
      <w:r>
        <w:rPr>
          <w:rFonts w:hint="eastAsia" w:ascii="仿宋_GB2312" w:hAnsi="宋体" w:eastAsia="仿宋_GB2312" w:cs="宋体"/>
          <w:b/>
          <w:bCs/>
          <w:kern w:val="0"/>
          <w:sz w:val="32"/>
          <w:szCs w:val="32"/>
          <w:lang w:val="en-US" w:eastAsia="zh-CN"/>
        </w:rPr>
        <w:t>四是</w:t>
      </w:r>
      <w:r>
        <w:rPr>
          <w:rFonts w:hint="eastAsia" w:ascii="仿宋_GB2312" w:hAnsi="宋体" w:eastAsia="仿宋_GB2312" w:cs="宋体"/>
          <w:kern w:val="0"/>
          <w:sz w:val="32"/>
          <w:szCs w:val="32"/>
          <w:lang w:val="en-US" w:eastAsia="zh-CN"/>
        </w:rPr>
        <w:t>强化廉政建设，推进依法执政。坚持领导干部述职述廉制度和重大事项报告制度，严格落实党风廉政建设责任制，建立健全促廉保廉机制，加大廉政宣传。</w:t>
      </w:r>
      <w:r>
        <w:rPr>
          <w:rFonts w:hint="eastAsia" w:ascii="仿宋_GB2312" w:hAnsi="宋体" w:eastAsia="仿宋_GB2312" w:cs="宋体"/>
          <w:b/>
          <w:bCs/>
          <w:kern w:val="0"/>
          <w:sz w:val="32"/>
          <w:szCs w:val="32"/>
          <w:lang w:val="en-US" w:eastAsia="zh-CN"/>
        </w:rPr>
        <w:t>五是</w:t>
      </w:r>
      <w:r>
        <w:rPr>
          <w:rFonts w:hint="eastAsia" w:ascii="仿宋_GB2312" w:hAnsi="宋体" w:eastAsia="仿宋_GB2312" w:cs="宋体"/>
          <w:kern w:val="0"/>
          <w:sz w:val="32"/>
          <w:szCs w:val="32"/>
          <w:lang w:val="en-US" w:eastAsia="zh-CN"/>
        </w:rPr>
        <w:t>严格落实行政机关出庭应诉、支持法院受理行政案件、尊重并执行法院生效裁判的制度。</w:t>
      </w:r>
      <w:r>
        <w:rPr>
          <w:rFonts w:hint="eastAsia" w:ascii="仿宋_GB2312" w:hAnsi="宋体" w:eastAsia="仿宋_GB2312" w:cs="宋体"/>
          <w:b/>
          <w:bCs/>
          <w:kern w:val="0"/>
          <w:sz w:val="32"/>
          <w:szCs w:val="32"/>
          <w:lang w:val="en-US" w:eastAsia="zh-CN"/>
        </w:rPr>
        <w:t>六是</w:t>
      </w:r>
      <w:r>
        <w:rPr>
          <w:rFonts w:hint="eastAsia" w:ascii="仿宋_GB2312" w:hAnsi="宋体" w:eastAsia="仿宋_GB2312" w:cs="宋体"/>
          <w:kern w:val="0"/>
          <w:sz w:val="32"/>
          <w:szCs w:val="32"/>
          <w:lang w:val="en-US" w:eastAsia="zh-CN"/>
        </w:rPr>
        <w:t>全面落实“谁执法谁普法”普法责任制。制定普</w:t>
      </w:r>
      <w:bookmarkStart w:id="0" w:name="_GoBack"/>
      <w:bookmarkEnd w:id="0"/>
      <w:r>
        <w:rPr>
          <w:rFonts w:hint="eastAsia" w:ascii="仿宋_GB2312" w:hAnsi="宋体" w:eastAsia="仿宋_GB2312" w:cs="宋体"/>
          <w:kern w:val="0"/>
          <w:sz w:val="32"/>
          <w:szCs w:val="32"/>
          <w:lang w:val="en-US" w:eastAsia="zh-CN"/>
        </w:rPr>
        <w:t>法责任清单、年度普法计划、干部普法与群众普法实施方案，明确普法对象、普法任务和工作要求，在全社会营造“办事依法、遇事找法、解决问题用法、化解矛盾靠法”的浓厚法治氛围。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黑体" w:hAnsi="黑体" w:eastAsia="黑体" w:cs="黑体"/>
          <w:sz w:val="32"/>
          <w:szCs w:val="32"/>
          <w:lang w:val="en-US" w:eastAsia="zh-CN"/>
        </w:rPr>
        <w:t>三、2021年推进法治政府建设存在的不足和原因</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我乡法治政府建设工作在区委、区政府的正确领导下，在区级有关部门的大力支持下，虽然取得了一定成效，但与全区法治政府建设的要求还有较大的差距，还存在一些问题和不足：</w:t>
      </w: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个别乡村干部重视不够，法治思维和法律意识还不强；</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法治政府的监督制约机制还不够健全，还一定程度存在行政行为不够规范的情况；</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全乡群众的法治意识、学法、普法、用法、守法的意识还有待提高。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四、2022年度推进法治政府建设的主要安排</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kern w:val="0"/>
          <w:sz w:val="32"/>
          <w:szCs w:val="32"/>
          <w:lang w:val="en-US" w:eastAsia="zh-CN"/>
        </w:rPr>
        <w:t>突出村民自治，提升法治政府效果。通过进一步修订完善村规民约、加强党务村务财务公开、坚持民主决策等方式，充分发挥村监会职能作用，切实提升村民自我民主管理和学法、尊法、守法、用法的意识和能力，形成齐抓共管、人人参与的村民自治良好氛围，有序推进基层民主法治建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强化协调联动，加强法制宣传教育。协调司法、公安等各方力量，积极开展各类法治宣传教育活动，不断增强广大党员干部和人民群众的法治意识，努力营造领导干部带头遵守法律，工作人员严格规范执法，广大群众解决问题用法的良好氛围。</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kern w:val="0"/>
          <w:sz w:val="32"/>
          <w:szCs w:val="32"/>
          <w:lang w:val="en-US" w:eastAsia="zh-CN"/>
        </w:rPr>
        <w:t>加强督促检查，巩固法治建设成果。加大法治政府工作考评力度，细化法治建设指标考核体系，认真落实乡村各级领导班子及成员述职述廉述法报告制度，确保法治政府建设各项目标任务顺利有序推进。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2560" w:firstLineChars="800"/>
        <w:jc w:val="both"/>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固原市原州区炭山乡人民政府</w:t>
      </w:r>
    </w:p>
    <w:p>
      <w:pPr>
        <w:keepNext w:val="0"/>
        <w:keepLines w:val="0"/>
        <w:pageBreakBefore w:val="0"/>
        <w:widowControl/>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2022年2月22日</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6"/>
        <w:keepNext w:val="0"/>
        <w:keepLines w:val="0"/>
        <w:pageBreakBefore w:val="0"/>
        <w:widowControl/>
        <w:suppressLineNumbers w:val="0"/>
        <w:pBdr>
          <w:top w:val="single" w:color="auto" w:sz="4" w:space="1"/>
          <w:left w:val="none" w:color="auto" w:sz="0" w:space="4"/>
          <w:bottom w:val="single" w:color="auto" w:sz="4"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320" w:firstLineChars="100"/>
        <w:jc w:val="left"/>
        <w:textAlignment w:val="auto"/>
        <w:rPr>
          <w:rFonts w:hint="eastAsia"/>
          <w:lang w:val="en-US" w:eastAsia="zh-CN"/>
        </w:rPr>
      </w:pPr>
      <w:r>
        <w:rPr>
          <w:rFonts w:hint="eastAsia" w:ascii="仿宋_GB2312" w:hAnsi="仿宋_GB2312" w:eastAsia="仿宋_GB2312" w:cs="仿宋_GB2312"/>
          <w:kern w:val="2"/>
          <w:sz w:val="32"/>
          <w:szCs w:val="32"/>
          <w:lang w:val="en-US" w:eastAsia="zh-CN" w:bidi="ar-SA"/>
        </w:rPr>
        <w:t>原州区炭山乡综合办公室         20</w:t>
      </w:r>
      <w:r>
        <w:rPr>
          <w:rFonts w:hint="default" w:ascii="仿宋_GB2312" w:hAnsi="仿宋_GB2312" w:eastAsia="仿宋_GB2312" w:cs="仿宋_GB2312"/>
          <w:kern w:val="2"/>
          <w:sz w:val="32"/>
          <w:szCs w:val="32"/>
          <w:lang w:eastAsia="zh-CN" w:bidi="ar-SA"/>
        </w:rPr>
        <w:t>2</w:t>
      </w:r>
      <w:r>
        <w:rPr>
          <w:rFonts w:hint="eastAsia" w:ascii="仿宋_GB2312" w:hAnsi="仿宋_GB2312" w:eastAsia="仿宋_GB2312" w:cs="仿宋_GB2312"/>
          <w:kern w:val="2"/>
          <w:sz w:val="32"/>
          <w:szCs w:val="32"/>
          <w:lang w:val="en-US" w:eastAsia="zh-CN" w:bidi="ar-SA"/>
        </w:rPr>
        <w:t>2年</w:t>
      </w:r>
      <w:r>
        <w:rPr>
          <w:rFonts w:hint="eastAsia" w:ascii="仿宋_GB2312" w:hAnsi="仿宋_GB2312" w:eastAsia="仿宋_GB2312" w:cs="仿宋_GB2312"/>
          <w:sz w:val="32"/>
          <w:szCs w:val="32"/>
          <w:lang w:val="en-US" w:eastAsia="zh-CN"/>
        </w:rPr>
        <w:t>2月22日</w:t>
      </w:r>
      <w:r>
        <w:rPr>
          <w:rFonts w:hint="eastAsia" w:ascii="仿宋_GB2312" w:hAnsi="仿宋_GB2312" w:eastAsia="仿宋_GB2312" w:cs="仿宋_GB2312"/>
          <w:kern w:val="2"/>
          <w:sz w:val="32"/>
          <w:szCs w:val="32"/>
          <w:lang w:val="en-US" w:eastAsia="zh-CN" w:bidi="ar-SA"/>
        </w:rPr>
        <w:t>印发</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66A92"/>
    <w:rsid w:val="11B30526"/>
    <w:rsid w:val="15AE7982"/>
    <w:rsid w:val="18890EBA"/>
    <w:rsid w:val="1ED35C11"/>
    <w:rsid w:val="2B667576"/>
    <w:rsid w:val="40082A53"/>
    <w:rsid w:val="41666A92"/>
    <w:rsid w:val="56083142"/>
    <w:rsid w:val="71FE2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Normal Indent"/>
    <w:basedOn w:val="1"/>
    <w:qFormat/>
    <w:uiPriority w:val="0"/>
    <w:pPr>
      <w:ind w:firstLine="200" w:firstLineChars="200"/>
    </w:pPr>
    <w:rPr>
      <w:rFonts w:ascii="Times New Roman" w:hAnsi="Times New Roman" w:eastAsia="宋体" w:cs="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2022-02-23T15:09:00Z</dcterms:created>
  <dc:creator>白哉</dc:creator>
  <cp:lastModifiedBy>白哉</cp:lastModifiedBy>
  <cp:lastPrinted>2022-03-02T07:17:38Z</cp:lastPrinted>
  <dcterms:modified xsi:type="dcterms:W3CDTF">2022-03-03T08:32:23Z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1A4631BAFC054C6B98433D175848FE23</vt:lpwstr>
  </property>
</Properties>
</file>