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原州区住房城乡建设和交通局行政执法随机抽查事项清单</w:t>
      </w: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1、建筑、道路施工领域执法检查</w:t>
      </w:r>
    </w:p>
    <w:tbl>
      <w:tblPr>
        <w:tblStyle w:val="3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140"/>
        <w:gridCol w:w="1200"/>
        <w:gridCol w:w="1305"/>
        <w:gridCol w:w="1290"/>
        <w:gridCol w:w="1215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抽查类别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检查主体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1.1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人员和资质管理</w:t>
            </w: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企业安全生产行政许可手续是否齐全有效。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企业设置安全管理机构情况，主要负责人和安全管理人员考核上岗情况，从业人员教育培训情况，特种作业人员持证上岗情况。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承包单位相应资质和安全管理情况。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从业人员遵守安全生产规章制度和佩戴劳动防护用品情况。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建筑、道路施工企业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现场检查等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358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《安全生产许可证条例》（国务院第</w:t>
            </w: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397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号令）第二、六、七、九、十三条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《安全生产法》第十九、二十一、二十四、二十五条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《安全生产法》第四十六条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《安全生产法》第五十四条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《建设工程安全生产管理条例》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365" w:type="dxa"/>
            <w:vAlign w:val="top"/>
          </w:tcPr>
          <w:p>
            <w:pPr>
              <w:jc w:val="left"/>
              <w:rPr>
                <w:rFonts w:hint="eastAsia" w:ascii="仿宋_GB2312" w:hAnsi="仿宋_GB2312" w:eastAsia="宋体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21"/>
                <w:szCs w:val="21"/>
                <w:lang w:bidi="ar"/>
              </w:rPr>
              <w:t>对建设工程安全生产的监督检查</w:t>
            </w: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生产经营单位建立健全生产安全事故隐患排查治理制度情况，采取技术、管理措施，及时发现并消除事故隐患，制定操作规程等情况。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建筑、道路施工企业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现场检查等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358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《安全生产法》第十八条、三十八条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《建设工程安全生产管理条例》《宁夏回族自治区建筑管理条例》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36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1.3施工许可</w:t>
            </w: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未取得或规避办理施工许可的；建设单位采取欺骗、贿赂等不正当手段取得施工许可；建设单位隐瞒有关情况或者提供虚假材料申请施工许可的；建设单位伪造或者涂改施工许可的；开工前未办理施工许可证的。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建设、施工单位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现场检查等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358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中华人民共和国建筑法》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《建筑工程管理条例》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《宁夏回族自治区建筑管理条例》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1.4建设领域突出问题及建筑市场秩序</w:t>
            </w: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未履行基本建设程序（未批先建）、违反建筑市场基本秩序(挂靠出借资质、违法分包转包等）、恶意拖欠工程款和恶意讨薪行为、农民工劳动合同未备案，农民工未实名制管理，工伤保险未缴纳、以房车顶替工程款等现象、乡镇村庄违章</w:t>
            </w:r>
            <w:r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建筑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、工程</w:t>
            </w:r>
            <w:r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管人员“吃拿卡要”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建设单位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建筑、道路施工企业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、监理单位和监督机构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专项检查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现场检查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358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中华人民共和国建筑法》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《建设工程安全生产管理条例》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《建筑工程管理条例》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《宁夏回族自治区建筑管理条例》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.5</w:t>
            </w:r>
            <w:r>
              <w:rPr>
                <w:rFonts w:hint="eastAsia" w:ascii="宋体" w:hAnsi="宋体"/>
                <w:color w:val="333333"/>
                <w:kern w:val="21"/>
                <w:szCs w:val="21"/>
              </w:rPr>
              <w:t>对建筑起重机械的租赁、安装、拆卸、使用的监督管理</w:t>
            </w: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未按照安全施工要求配备机械设备保险、限位等安全设施装置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；出租单位、使用单位、安装单位、施工单位、监理单位违反建筑起重机械的安全使用管理规定的</w:t>
            </w:r>
          </w:p>
        </w:tc>
        <w:tc>
          <w:tcPr>
            <w:tcW w:w="120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起重机械租赁、安装使用单位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专项检查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现场检查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358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《建设工程安全生产管理条例》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《建筑工程管理条例》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《宁夏回族自治区建筑管理条例》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《起重机械安全监督管理规定》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365" w:type="dxa"/>
            <w:vAlign w:val="top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1.6建设工程消防设计备案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及审核</w:t>
            </w: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建设单位是否进行消防设计备案和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图纸审计审查</w:t>
            </w:r>
          </w:p>
        </w:tc>
        <w:tc>
          <w:tcPr>
            <w:tcW w:w="1200" w:type="dxa"/>
            <w:vAlign w:val="center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建设单位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一般检查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现场检查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358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《中华人民共和国消防法》（2019年修订）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第五十六条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建设工程消防设计备案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及审核</w:t>
            </w: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建设单位是否进行消防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竣工验收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备案和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竣工验收</w:t>
            </w:r>
          </w:p>
        </w:tc>
        <w:tc>
          <w:tcPr>
            <w:tcW w:w="1200" w:type="dxa"/>
            <w:vAlign w:val="center"/>
          </w:tcPr>
          <w:p>
            <w:pPr>
              <w:bidi w:val="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建设单位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一般检查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现场检查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358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《中华人民共和国消防法》（2019年修订）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第五十六条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8安全生产费用提取和使用</w:t>
            </w: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theme="majorEastAsia"/>
                <w:bCs/>
                <w:szCs w:val="21"/>
              </w:rPr>
              <w:t>建设单位、施工单位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是否</w:t>
            </w:r>
            <w:r>
              <w:rPr>
                <w:rFonts w:hint="eastAsia" w:ascii="宋体" w:hAnsi="宋体" w:cstheme="majorEastAsia"/>
                <w:bCs/>
                <w:szCs w:val="21"/>
              </w:rPr>
              <w:t>按规定安排和使用安全生产所需费用</w:t>
            </w:r>
          </w:p>
        </w:tc>
        <w:tc>
          <w:tcPr>
            <w:tcW w:w="1200" w:type="dxa"/>
            <w:vAlign w:val="center"/>
          </w:tcPr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建设、施工单位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专项检查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现场检查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358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theme="majorEastAsia"/>
                <w:bCs/>
                <w:szCs w:val="21"/>
              </w:rPr>
              <w:t>《建设工程安全生产管理条例》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第五十四条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 w:themeColor="text1"/>
                <w:kern w:val="21"/>
                <w:szCs w:val="21"/>
                <w14:textFill>
                  <w14:solidFill>
                    <w14:schemeClr w14:val="tx1"/>
                  </w14:solidFill>
                </w14:textFill>
              </w:rPr>
              <w:t>对危险性较大的分部分项工程的抽查</w:t>
            </w:r>
          </w:p>
        </w:tc>
        <w:tc>
          <w:tcPr>
            <w:tcW w:w="4140" w:type="dxa"/>
            <w:vAlign w:val="top"/>
          </w:tcPr>
          <w:p>
            <w:pPr>
              <w:jc w:val="left"/>
              <w:rPr>
                <w:rFonts w:hint="eastAsia" w:ascii="宋体" w:hAnsi="宋体" w:eastAsiaTheme="min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theme="majorEastAsia"/>
                <w:bCs/>
                <w:szCs w:val="21"/>
              </w:rPr>
              <w:t>勘察单位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是否</w:t>
            </w:r>
            <w:r>
              <w:rPr>
                <w:rFonts w:hint="eastAsia" w:ascii="宋体" w:hAnsi="宋体" w:cstheme="majorEastAsia"/>
                <w:bCs/>
                <w:szCs w:val="21"/>
              </w:rPr>
              <w:t>根据工程实际及工程周边环境资料，在勘察文件中说明地质条件可能造成的工程风险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 w:cstheme="majorEastAsia"/>
                <w:bCs/>
                <w:szCs w:val="21"/>
              </w:rPr>
              <w:t>设计单位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是否</w:t>
            </w:r>
            <w:r>
              <w:rPr>
                <w:rFonts w:hint="eastAsia" w:ascii="宋体" w:hAnsi="宋体" w:cstheme="majorEastAsia"/>
                <w:bCs/>
                <w:szCs w:val="21"/>
              </w:rPr>
              <w:t>在设计文件中注明涉及危大工程的重点部位和环节，提出保障工程周边环境安全和工程施工安全的意见，必要时进行专项设计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 w:cstheme="majorEastAsia"/>
                <w:bCs/>
                <w:szCs w:val="21"/>
              </w:rPr>
              <w:t>建设单位在申请领取施工许可证或办理安全监督手续时，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是否</w:t>
            </w:r>
            <w:r>
              <w:rPr>
                <w:rFonts w:hint="eastAsia" w:ascii="宋体" w:hAnsi="宋体" w:cstheme="majorEastAsia"/>
                <w:bCs/>
                <w:szCs w:val="21"/>
              </w:rPr>
              <w:t>提供危险性较大的分部分项工程清单和安全管理措施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 w:cstheme="majorEastAsia"/>
                <w:bCs/>
                <w:szCs w:val="21"/>
              </w:rPr>
              <w:t>施工单位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是否</w:t>
            </w:r>
            <w:r>
              <w:rPr>
                <w:rFonts w:hint="eastAsia" w:ascii="宋体" w:hAnsi="宋体" w:cstheme="majorEastAsia"/>
                <w:bCs/>
                <w:szCs w:val="21"/>
              </w:rPr>
              <w:t>在危大工程施工前组织工程技术人员编制专项施工方案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或进行专家论证；</w:t>
            </w:r>
            <w:r>
              <w:rPr>
                <w:rFonts w:hint="eastAsia" w:ascii="宋体" w:hAnsi="宋体" w:cstheme="majorEastAsia"/>
                <w:bCs/>
                <w:szCs w:val="21"/>
              </w:rPr>
              <w:t>监理单位</w:t>
            </w:r>
            <w:r>
              <w:rPr>
                <w:rFonts w:hint="eastAsia" w:ascii="宋体" w:hAnsi="宋体" w:cstheme="majorEastAsia"/>
                <w:bCs/>
                <w:szCs w:val="21"/>
                <w:lang w:eastAsia="zh-CN"/>
              </w:rPr>
              <w:t>是否</w:t>
            </w:r>
            <w:r>
              <w:rPr>
                <w:rFonts w:hint="eastAsia" w:ascii="宋体" w:hAnsi="宋体" w:cstheme="majorEastAsia"/>
                <w:bCs/>
                <w:szCs w:val="21"/>
              </w:rPr>
              <w:t>结合危大工程专项施工方案编制监理实施细则，并对危大工程施工实施专项巡视检查。</w:t>
            </w:r>
          </w:p>
        </w:tc>
        <w:tc>
          <w:tcPr>
            <w:tcW w:w="1200" w:type="dxa"/>
            <w:vAlign w:val="center"/>
          </w:tcPr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勘察、设计、建设、施工、监理等单位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专项检查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现场检查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3585" w:type="dxa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F3939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F3939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ascii="宋体" w:hAnsi="宋体" w:cstheme="maj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《危险性较大的分部分项工程安全管理规定》</w:t>
            </w:r>
            <w:r>
              <w:rPr>
                <w:rFonts w:hint="eastAsia" w:ascii="宋体" w:hAnsi="宋体" w:cstheme="majorEastAsia"/>
                <w:bCs/>
                <w:szCs w:val="21"/>
              </w:rPr>
              <w:t>（2018年住建部令第37号）</w:t>
            </w:r>
          </w:p>
          <w:p>
            <w:pPr>
              <w:jc w:val="left"/>
              <w:rPr>
                <w:rFonts w:hint="eastAsia" w:ascii="宋体" w:hAnsi="宋体" w:cstheme="majorEastAsia"/>
                <w:bCs/>
                <w:szCs w:val="21"/>
              </w:rPr>
            </w:pPr>
          </w:p>
        </w:tc>
      </w:tr>
    </w:tbl>
    <w:p>
      <w:pPr>
        <w:numPr>
          <w:ilvl w:val="0"/>
          <w:numId w:val="1"/>
        </w:num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原州区农村公路工程质量监督站行政执法随机抽查事项清单</w:t>
      </w:r>
    </w:p>
    <w:tbl>
      <w:tblPr>
        <w:tblW w:w="138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644"/>
        <w:gridCol w:w="3821"/>
        <w:gridCol w:w="1087"/>
        <w:gridCol w:w="1168"/>
        <w:gridCol w:w="1100"/>
        <w:gridCol w:w="1100"/>
        <w:gridCol w:w="45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抽查类别</w:t>
            </w:r>
          </w:p>
        </w:tc>
        <w:tc>
          <w:tcPr>
            <w:tcW w:w="38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抽查事项</w:t>
            </w:r>
          </w:p>
        </w:tc>
        <w:tc>
          <w:tcPr>
            <w:tcW w:w="10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抽查对象</w:t>
            </w:r>
          </w:p>
        </w:tc>
        <w:tc>
          <w:tcPr>
            <w:tcW w:w="11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事项类别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检查方式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检查主体</w:t>
            </w:r>
          </w:p>
        </w:tc>
        <w:tc>
          <w:tcPr>
            <w:tcW w:w="45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检查依据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2.1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人员和质量责任登记备案管理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建设单位按规定办理质量监督手续情况；各从业单位质量责任登记情况；试验检测机构、工地试验室、监理企业及其人员备案登记、执业资格管理及考核信用评价情况。                                         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公路工程建设各相关从业单位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一般检查事项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备案核查、专项督查等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原州区农村公路工程质量监督站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《建设工程质量管理条例》第十三条、《公路水运工程质量监督管理规定》第二十二条、《农村公路建设质量管理办法》第六条、《公路水运工程质量监督管理规定》第七条、《公路水运工程试验检测信用评价办法》、公路水运工程监理信用评价办法》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工程施工质量监督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监理、施工、试验检测等从业单位履约情况；对原材料、混合料、构配件等检测情况；隐蔽工程质量检查和记录情况；工程实体质量、外观鉴定和各分项、分部、单位工程质量自评情况；受理农村公路质量问题举报、投诉；参与农村公路质量事故的调查处理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公路工程建设各相关从业单位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一般检查事项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随机抽查、专项督查、月度现场巡查等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原州区农村公路工程质量监督站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《建设工程质量管理条例》第二十八条、二十九条、三十条、《公路水运工程质量监督管理规定》第十三条、十四条、十五条、十七条和三十四条 、《公路建设监督管理办法》第二十三条 、《农村公路建设质量管理办法》第十三条、十四条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2.3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工程竣（交）工验收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检查合同执行情况；工程质量是否符合设计及技术标准要求；对工程建设项目及各参建单位进行综合评价。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公路工程建设各相关从业单位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一般检查事项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现场检查等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原州区农村公路工程质量监督站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《农村公路建设管理办法》第四十条、四十一条、《公路水运工程质量监督管理规定》第二十五条、二十六条、《公路工程竣（交）工验收办法》、《公路工程竣（交）工验收办法实施细则》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2.4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安全管理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各从业单位安全生产执行法律、法规、规章及工程建设强制性标准情况；安全生产机构或人员配置、资金投入等安全生产条件落实情况；施工单位施工现场布置、安全防护、施工工艺操作、施工安全管理及培训情况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公路工程建设各相关从业单位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一般检查事项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现场检查等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原州区农村公路工程质量监督站</w:t>
            </w:r>
          </w:p>
        </w:tc>
        <w:tc>
          <w:tcPr>
            <w:tcW w:w="4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《公路建设监督管理办法》第五条 、《公路水运工程安全生产监督管理办法》第四十五条 、《安全生产法》第十七条、二十条、四十二条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公路管理和保护检查</w:t>
      </w:r>
    </w:p>
    <w:tbl>
      <w:tblPr>
        <w:tblW w:w="139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2806"/>
        <w:gridCol w:w="1820"/>
        <w:gridCol w:w="1598"/>
        <w:gridCol w:w="1611"/>
        <w:gridCol w:w="1987"/>
        <w:gridCol w:w="21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抽查类别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抽查事项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抽查对象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事项类别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检查方式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检查主体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检查依据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公路管理和保护检查</w:t>
            </w:r>
          </w:p>
        </w:tc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在公路、建筑控制区、车辆停放场所、车辆所属单位等进行监督检查；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各种侵占、损坏公路、公路用地、公路附属设施及其他违反本法规定的行为。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公路经营者、使用者和其他有关单位个人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一般检查事项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现场巡查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原州区住房城乡建设和交通局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《中华人民共和国公路法》第七十条、第七十一条、第八十五条。</w:t>
            </w:r>
          </w:p>
        </w:tc>
      </w:tr>
    </w:tbl>
    <w:p>
      <w:pPr>
        <w:numPr>
          <w:numId w:val="0"/>
        </w:numPr>
        <w:ind w:leftChars="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E54D3"/>
    <w:multiLevelType w:val="singleLevel"/>
    <w:tmpl w:val="972E54D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24A00"/>
    <w:rsid w:val="34C054B6"/>
    <w:rsid w:val="5EE24A00"/>
    <w:rsid w:val="6006038B"/>
    <w:rsid w:val="6A8C1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2019-11-07T00:53:00Z</dcterms:created>
  <dc:creator>似水流年1376314220</dc:creator>
  <cp:lastModifiedBy>似水流年1376314220</cp:lastModifiedBy>
  <dcterms:modified xsi:type="dcterms:W3CDTF">2019-11-09T08:34:31Z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