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858" w:tblpY="2644"/>
        <w:tblOverlap w:val="never"/>
        <w:tblW w:w="1518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60"/>
        <w:gridCol w:w="1090"/>
        <w:gridCol w:w="1590"/>
        <w:gridCol w:w="1440"/>
        <w:gridCol w:w="2325"/>
        <w:gridCol w:w="1890"/>
        <w:gridCol w:w="1805"/>
        <w:gridCol w:w="2040"/>
        <w:gridCol w:w="1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5"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109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w:t>
            </w:r>
          </w:p>
          <w:p>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名称或姓名</w:t>
            </w:r>
          </w:p>
        </w:tc>
        <w:tc>
          <w:tcPr>
            <w:tcW w:w="159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232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违法事实</w:t>
            </w:r>
          </w:p>
        </w:tc>
        <w:tc>
          <w:tcPr>
            <w:tcW w:w="1890"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80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2040"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1080"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765" w:type="dxa"/>
            <w:tcBorders>
              <w:top w:val="single" w:color="auto" w:sz="4" w:space="0"/>
              <w:left w:val="single" w:color="auto" w:sz="8" w:space="0"/>
              <w:right w:val="single" w:color="auto" w:sz="4" w:space="0"/>
            </w:tcBorders>
            <w:noWrap w:val="0"/>
            <w:vAlign w:val="center"/>
          </w:tcPr>
          <w:p>
            <w:pPr>
              <w:spacing w:line="240" w:lineRule="auto"/>
              <w:ind w:firstLine="0" w:firstLineChars="0"/>
              <w:jc w:val="center"/>
              <w:textAlignment w:val="baseline"/>
              <w:rPr>
                <w:rFonts w:hint="eastAsia" w:eastAsia="仿宋_GB2312"/>
                <w:sz w:val="24"/>
                <w:u w:val="single" w:color="000000"/>
                <w:lang w:val="en-US" w:eastAsia="zh-CN"/>
              </w:rPr>
            </w:pPr>
            <w:r>
              <w:rPr>
                <w:rFonts w:hint="eastAsia"/>
                <w:sz w:val="24"/>
                <w:u w:val="none" w:color="auto"/>
                <w:lang w:val="en-US" w:eastAsia="zh-CN"/>
              </w:rPr>
              <w:t>1</w:t>
            </w:r>
          </w:p>
        </w:tc>
        <w:tc>
          <w:tcPr>
            <w:tcW w:w="1160" w:type="dxa"/>
            <w:tcBorders>
              <w:top w:val="single" w:color="auto" w:sz="4" w:space="0"/>
              <w:left w:val="single" w:color="auto" w:sz="4" w:space="0"/>
              <w:right w:val="single" w:color="auto" w:sz="4" w:space="0"/>
            </w:tcBorders>
            <w:noWrap w:val="0"/>
            <w:vAlign w:val="center"/>
          </w:tcPr>
          <w:p>
            <w:pPr>
              <w:spacing w:line="240" w:lineRule="auto"/>
              <w:ind w:firstLine="0" w:firstLineChars="0"/>
              <w:jc w:val="both"/>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洋未经定点从事畜禽屠宰活动案</w:t>
            </w:r>
          </w:p>
        </w:tc>
        <w:tc>
          <w:tcPr>
            <w:tcW w:w="1090"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i w:val="0"/>
                <w:iCs w:val="0"/>
                <w:caps w:val="0"/>
                <w:color w:val="000000"/>
                <w:spacing w:val="0"/>
                <w:sz w:val="24"/>
                <w:szCs w:val="24"/>
                <w:shd w:val="clear" w:fill="FFFFFF"/>
              </w:rPr>
              <w:t>*</w:t>
            </w:r>
            <w:r>
              <w:rPr>
                <w:rFonts w:hint="eastAsia" w:ascii="仿宋_GB2312" w:hAnsi="仿宋_GB2312" w:cs="仿宋_GB2312"/>
                <w:sz w:val="24"/>
                <w:szCs w:val="24"/>
                <w:u w:val="none" w:color="auto"/>
                <w:lang w:val="en-US" w:eastAsia="zh-CN"/>
              </w:rPr>
              <w:t>洋</w:t>
            </w:r>
          </w:p>
        </w:tc>
        <w:tc>
          <w:tcPr>
            <w:tcW w:w="1590"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w:t>
            </w:r>
          </w:p>
        </w:tc>
        <w:tc>
          <w:tcPr>
            <w:tcW w:w="1440"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i w:val="0"/>
                <w:iCs w:val="0"/>
                <w:caps w:val="0"/>
                <w:color w:val="000000"/>
                <w:spacing w:val="0"/>
                <w:sz w:val="24"/>
                <w:szCs w:val="24"/>
                <w:shd w:val="clear" w:fill="FFFFFF"/>
              </w:rPr>
              <w:t>*</w:t>
            </w:r>
            <w:r>
              <w:rPr>
                <w:rFonts w:hint="eastAsia" w:ascii="仿宋_GB2312" w:hAnsi="仿宋_GB2312" w:cs="仿宋_GB2312"/>
                <w:sz w:val="24"/>
                <w:szCs w:val="24"/>
                <w:u w:val="none" w:color="auto"/>
                <w:lang w:val="en-US" w:eastAsia="zh-CN"/>
              </w:rPr>
              <w:t>洋</w:t>
            </w:r>
          </w:p>
        </w:tc>
        <w:tc>
          <w:tcPr>
            <w:tcW w:w="2325" w:type="dxa"/>
            <w:tcBorders>
              <w:top w:val="single" w:color="auto" w:sz="4" w:space="0"/>
              <w:left w:val="single" w:color="auto" w:sz="4" w:space="0"/>
              <w:right w:val="single" w:color="auto" w:sz="8" w:space="0"/>
            </w:tcBorders>
            <w:noWrap w:val="0"/>
            <w:vAlign w:val="top"/>
          </w:tcPr>
          <w:p>
            <w:pPr>
              <w:keepNext w:val="0"/>
              <w:keepLines w:val="0"/>
              <w:pageBreakBefore w:val="0"/>
              <w:kinsoku/>
              <w:wordWrap/>
              <w:overflowPunct/>
              <w:topLinePunct w:val="0"/>
              <w:autoSpaceDE/>
              <w:autoSpaceDN/>
              <w:bidi w:val="0"/>
              <w:adjustRightInd w:val="0"/>
              <w:snapToGrid w:val="0"/>
              <w:spacing w:line="280" w:lineRule="exact"/>
              <w:ind w:firstLine="0" w:firstLineChars="0"/>
              <w:jc w:val="both"/>
              <w:textAlignment w:val="baseline"/>
              <w:rPr>
                <w:rFonts w:hint="default" w:ascii="仿宋_GB2312" w:hAnsi="仿宋_GB2312" w:eastAsia="仿宋_GB2312" w:cs="仿宋_GB2312"/>
                <w:sz w:val="24"/>
                <w:szCs w:val="24"/>
                <w:u w:val="single" w:color="000000"/>
                <w:lang w:val="en-US"/>
              </w:rPr>
            </w:pPr>
            <w:r>
              <w:rPr>
                <w:rFonts w:hint="eastAsia" w:ascii="仿宋_GB2312" w:hAnsi="仿宋_GB2312" w:eastAsia="仿宋_GB2312" w:cs="仿宋_GB2312"/>
                <w:sz w:val="24"/>
                <w:szCs w:val="24"/>
                <w:lang w:val="en-US" w:eastAsia="zh-CN"/>
              </w:rPr>
              <w:t>2023年12月18日上午，原州区农业综合执法人员在开展打击畜禽私屠滥宰违法行为专项整治中，现场发现位于固原市原州区桥头总工会东侧伊光鸡肉店内从事活鸡屠宰活动，现场发现已屠宰好的白条鸡共10只（</w:t>
            </w:r>
            <w:r>
              <w:rPr>
                <w:rFonts w:hint="eastAsia" w:ascii="仿宋_GB2312" w:hAnsi="仿宋_GB2312" w:cs="仿宋_GB2312"/>
                <w:sz w:val="24"/>
                <w:szCs w:val="24"/>
                <w:lang w:val="en-US" w:eastAsia="zh-CN"/>
              </w:rPr>
              <w:t>经</w:t>
            </w:r>
            <w:r>
              <w:rPr>
                <w:rFonts w:hint="eastAsia" w:ascii="仿宋_GB2312" w:hAnsi="仿宋_GB2312" w:eastAsia="仿宋_GB2312" w:cs="仿宋_GB2312"/>
                <w:sz w:val="24"/>
                <w:szCs w:val="24"/>
                <w:lang w:val="en-US" w:eastAsia="zh-CN"/>
              </w:rPr>
              <w:t>现场称重32.9公斤），屠宰刀具2把，当事人提供的动物检疫合格证明与实际数量不符，属于无效的检疫证明。</w:t>
            </w:r>
            <w:r>
              <w:rPr>
                <w:rFonts w:hint="eastAsia" w:ascii="仿宋_GB2312" w:hAnsi="仿宋_GB2312" w:cs="仿宋_GB2312"/>
                <w:sz w:val="24"/>
                <w:szCs w:val="24"/>
                <w:lang w:val="en-US" w:eastAsia="zh-CN"/>
              </w:rPr>
              <w:t>违反了《宁夏回族自治区畜禽屠宰管理条例》第四条规定。</w:t>
            </w:r>
            <w:bookmarkStart w:id="0" w:name="_GoBack"/>
            <w:bookmarkEnd w:id="0"/>
          </w:p>
        </w:tc>
        <w:tc>
          <w:tcPr>
            <w:tcW w:w="1890" w:type="dxa"/>
            <w:tcBorders>
              <w:top w:val="single" w:color="auto" w:sz="4" w:space="0"/>
              <w:left w:val="single" w:color="auto" w:sz="4" w:space="0"/>
              <w:bottom w:val="single" w:color="auto" w:sz="8" w:space="0"/>
              <w:right w:val="single" w:color="auto" w:sz="8" w:space="0"/>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按照宁夏回族自治区《畜禽屠宰管理条例》</w:t>
            </w:r>
            <w:r>
              <w:rPr>
                <w:rFonts w:hint="eastAsia" w:ascii="仿宋_GB2312" w:hAnsi="仿宋_GB2312" w:eastAsia="仿宋_GB2312" w:cs="仿宋_GB2312"/>
                <w:kern w:val="2"/>
                <w:sz w:val="24"/>
                <w:szCs w:val="24"/>
                <w:lang w:val="en-US" w:eastAsia="zh-CN" w:bidi="ar-SA"/>
              </w:rPr>
              <w:t>第三十</w:t>
            </w:r>
            <w:r>
              <w:rPr>
                <w:rFonts w:hint="eastAsia" w:ascii="仿宋_GB2312" w:hAnsi="仿宋_GB2312" w:cs="仿宋_GB2312"/>
                <w:kern w:val="2"/>
                <w:sz w:val="24"/>
                <w:szCs w:val="24"/>
                <w:lang w:val="en-US" w:eastAsia="zh-CN" w:bidi="ar-SA"/>
              </w:rPr>
              <w:t>七</w:t>
            </w:r>
            <w:r>
              <w:rPr>
                <w:rFonts w:hint="eastAsia" w:ascii="仿宋_GB2312" w:hAnsi="仿宋_GB2312" w:eastAsia="仿宋_GB2312" w:cs="仿宋_GB2312"/>
                <w:kern w:val="2"/>
                <w:sz w:val="24"/>
                <w:szCs w:val="24"/>
                <w:lang w:val="en-US" w:eastAsia="zh-CN" w:bidi="ar-SA"/>
              </w:rPr>
              <w:t>条</w:t>
            </w:r>
            <w:r>
              <w:rPr>
                <w:rFonts w:hint="eastAsia" w:ascii="仿宋_GB2312" w:hAnsi="仿宋_GB2312" w:cs="仿宋_GB2312"/>
                <w:kern w:val="2"/>
                <w:sz w:val="24"/>
                <w:szCs w:val="24"/>
                <w:lang w:val="en-US" w:eastAsia="zh-CN" w:bidi="ar-SA"/>
              </w:rPr>
              <w:t>第一款</w:t>
            </w:r>
            <w:r>
              <w:rPr>
                <w:rFonts w:hint="eastAsia" w:ascii="仿宋_GB2312" w:hAnsi="仿宋_GB2312" w:eastAsia="仿宋_GB2312" w:cs="仿宋_GB2312"/>
                <w:kern w:val="2"/>
                <w:sz w:val="24"/>
                <w:szCs w:val="24"/>
                <w:lang w:val="en-US" w:eastAsia="zh-CN" w:bidi="ar-SA"/>
              </w:rPr>
              <w:t>规定</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参照《宁夏回族自治区农业行政处罚自由裁量基准》（宁农规发（2022）1号）为基准，对当事人的行政处罚，能足以起到惩戒作用。本机关责令当事人改正违法行为，并作出以下处罚决定：1.没收私屠滥宰的白条鸡和屠宰刀具；</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baseline"/>
              <w:rPr>
                <w:rFonts w:hint="eastAsia" w:ascii="仿宋_GB2312" w:hAnsi="仿宋_GB2312" w:eastAsia="仿宋_GB2312" w:cs="仿宋_GB2312"/>
                <w:sz w:val="24"/>
                <w:szCs w:val="24"/>
                <w:u w:val="single" w:color="000000"/>
              </w:rPr>
            </w:pPr>
            <w:r>
              <w:rPr>
                <w:rFonts w:hint="eastAsia" w:ascii="仿宋_GB2312" w:hAnsi="仿宋_GB2312" w:eastAsia="仿宋_GB2312" w:cs="仿宋_GB2312"/>
                <w:kern w:val="2"/>
                <w:sz w:val="24"/>
                <w:szCs w:val="24"/>
                <w:lang w:val="en-US" w:eastAsia="zh-CN" w:bidi="ar-SA"/>
              </w:rPr>
              <w:t>2.罚款2368.8元整（按货值总金额789.6元3倍罚款）</w:t>
            </w:r>
          </w:p>
        </w:tc>
        <w:tc>
          <w:tcPr>
            <w:tcW w:w="1805"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应当</w:t>
            </w:r>
            <w:r>
              <w:rPr>
                <w:rFonts w:hint="eastAsia" w:ascii="仿宋_GB2312" w:hAnsi="仿宋_GB2312" w:eastAsia="仿宋_GB2312" w:cs="仿宋_GB2312"/>
                <w:sz w:val="24"/>
                <w:szCs w:val="24"/>
              </w:rPr>
              <w:t>在收到本处罚决定书之日起15日内持本决定书到</w:t>
            </w:r>
            <w:r>
              <w:rPr>
                <w:rFonts w:hint="eastAsia" w:ascii="仿宋_GB2312" w:hAnsi="仿宋_GB2312" w:eastAsia="仿宋_GB2312" w:cs="仿宋_GB2312"/>
                <w:sz w:val="24"/>
                <w:szCs w:val="24"/>
                <w:lang w:val="en-US" w:eastAsia="zh-CN"/>
              </w:rPr>
              <w:t>中国建设银行</w:t>
            </w:r>
            <w:r>
              <w:rPr>
                <w:rFonts w:hint="eastAsia" w:ascii="仿宋_GB2312" w:hAnsi="仿宋_GB2312" w:cs="仿宋_GB2312"/>
                <w:sz w:val="24"/>
                <w:szCs w:val="24"/>
                <w:lang w:val="en-US" w:eastAsia="zh-CN"/>
              </w:rPr>
              <w:t>股份有限公司</w:t>
            </w:r>
            <w:r>
              <w:rPr>
                <w:rFonts w:hint="eastAsia" w:ascii="仿宋_GB2312" w:hAnsi="仿宋_GB2312" w:eastAsia="仿宋_GB2312" w:cs="仿宋_GB2312"/>
                <w:sz w:val="24"/>
                <w:szCs w:val="24"/>
                <w:lang w:val="en-US" w:eastAsia="zh-CN"/>
              </w:rPr>
              <w:t>固原</w:t>
            </w:r>
            <w:r>
              <w:rPr>
                <w:rFonts w:hint="eastAsia" w:ascii="仿宋_GB2312" w:hAnsi="仿宋_GB2312" w:cs="仿宋_GB2312"/>
                <w:sz w:val="24"/>
                <w:szCs w:val="24"/>
                <w:lang w:val="en-US" w:eastAsia="zh-CN"/>
              </w:rPr>
              <w:t>分</w:t>
            </w:r>
            <w:r>
              <w:rPr>
                <w:rFonts w:hint="eastAsia" w:ascii="仿宋_GB2312" w:hAnsi="仿宋_GB2312" w:eastAsia="仿宋_GB2312" w:cs="仿宋_GB2312"/>
                <w:sz w:val="24"/>
                <w:szCs w:val="24"/>
                <w:lang w:val="en-US" w:eastAsia="zh-CN"/>
              </w:rPr>
              <w:t>行（地址：固原市原州区</w:t>
            </w:r>
            <w:r>
              <w:rPr>
                <w:rFonts w:hint="eastAsia" w:ascii="仿宋_GB2312" w:hAnsi="仿宋_GB2312" w:cs="仿宋_GB2312"/>
                <w:sz w:val="24"/>
                <w:szCs w:val="24"/>
                <w:lang w:val="en-US" w:eastAsia="zh-CN"/>
              </w:rPr>
              <w:t>中山南</w:t>
            </w:r>
            <w:r>
              <w:rPr>
                <w:rFonts w:hint="eastAsia" w:ascii="仿宋_GB2312" w:hAnsi="仿宋_GB2312" w:eastAsia="仿宋_GB2312" w:cs="仿宋_GB2312"/>
                <w:sz w:val="24"/>
                <w:szCs w:val="24"/>
                <w:lang w:val="en-US" w:eastAsia="zh-CN"/>
              </w:rPr>
              <w:t>街</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账号：6400160010005001</w:t>
            </w:r>
            <w:r>
              <w:rPr>
                <w:rFonts w:hint="eastAsia" w:ascii="仿宋_GB2312" w:hAnsi="仿宋_GB2312" w:cs="仿宋_GB2312"/>
                <w:sz w:val="24"/>
                <w:szCs w:val="24"/>
                <w:highlight w:val="yellow"/>
                <w:lang w:val="en-US" w:eastAsia="zh-CN"/>
              </w:rPr>
              <w:t>****</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p>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eastAsia="仿宋_GB2312" w:cs="仿宋_GB2312"/>
                <w:sz w:val="24"/>
                <w:szCs w:val="24"/>
                <w:u w:val="single" w:color="000000"/>
              </w:rPr>
            </w:pPr>
          </w:p>
        </w:tc>
        <w:tc>
          <w:tcPr>
            <w:tcW w:w="2040" w:type="dxa"/>
            <w:tcBorders>
              <w:top w:val="single" w:color="auto" w:sz="4" w:space="0"/>
              <w:left w:val="single" w:color="auto" w:sz="4" w:space="0"/>
              <w:bottom w:val="single" w:color="auto" w:sz="8" w:space="0"/>
              <w:right w:val="single" w:color="auto" w:sz="8" w:space="0"/>
            </w:tcBorders>
            <w:noWrap w:val="0"/>
            <w:vAlign w:val="center"/>
          </w:tcPr>
          <w:p>
            <w:pPr>
              <w:spacing w:line="240" w:lineRule="auto"/>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固原市原州区</w:t>
            </w:r>
          </w:p>
          <w:p>
            <w:pPr>
              <w:spacing w:line="240" w:lineRule="auto"/>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农业农村局</w:t>
            </w:r>
          </w:p>
          <w:p>
            <w:pPr>
              <w:pStyle w:val="2"/>
              <w:ind w:left="0" w:leftChars="0" w:firstLine="0" w:firstLineChars="0"/>
              <w:rPr>
                <w:rFonts w:hint="eastAsia" w:ascii="仿宋_GB2312" w:hAnsi="仿宋_GB2312" w:eastAsia="仿宋_GB2312" w:cs="仿宋_GB2312"/>
                <w:sz w:val="24"/>
                <w:szCs w:val="24"/>
                <w:lang w:val="en-US"/>
              </w:rPr>
            </w:pPr>
            <w:r>
              <w:rPr>
                <w:rFonts w:hint="eastAsia" w:ascii="仿宋_GB2312" w:hAnsi="仿宋_GB2312" w:cs="仿宋_GB2312"/>
                <w:sz w:val="24"/>
                <w:szCs w:val="24"/>
                <w:lang w:val="en-US" w:eastAsia="zh-CN"/>
              </w:rPr>
              <w:t>2024</w:t>
            </w:r>
            <w:r>
              <w:rPr>
                <w:rFonts w:hint="eastAsia" w:ascii="仿宋_GB2312" w:hAnsi="仿宋_GB2312" w:eastAsia="仿宋_GB2312" w:cs="仿宋_GB2312"/>
                <w:sz w:val="24"/>
                <w:szCs w:val="24"/>
                <w:lang w:val="en-US" w:eastAsia="zh-CN"/>
              </w:rPr>
              <w:t>年</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val="en-US" w:eastAsia="zh-CN"/>
              </w:rPr>
              <w:t>月</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日</w:t>
            </w:r>
          </w:p>
        </w:tc>
        <w:tc>
          <w:tcPr>
            <w:tcW w:w="1080" w:type="dxa"/>
            <w:tcBorders>
              <w:top w:val="single" w:color="auto" w:sz="4" w:space="0"/>
              <w:left w:val="single" w:color="auto" w:sz="4" w:space="0"/>
              <w:bottom w:val="single" w:color="auto" w:sz="8" w:space="0"/>
              <w:right w:val="single" w:color="auto" w:sz="8" w:space="0"/>
            </w:tcBorders>
            <w:noWrap w:val="0"/>
            <w:vAlign w:val="center"/>
          </w:tcPr>
          <w:p>
            <w:pPr>
              <w:spacing w:line="240" w:lineRule="auto"/>
              <w:ind w:firstLine="0" w:firstLineChars="0"/>
              <w:jc w:val="center"/>
              <w:textAlignment w:val="baseline"/>
              <w:rPr>
                <w:rFonts w:hint="default"/>
                <w:sz w:val="24"/>
                <w:u w:val="none" w:color="auto"/>
                <w:lang w:val="en-US" w:eastAsia="zh-CN"/>
              </w:rPr>
            </w:pPr>
          </w:p>
          <w:p>
            <w:pPr>
              <w:pStyle w:val="2"/>
              <w:rPr>
                <w:rFonts w:hint="default"/>
                <w:lang w:val="en-US" w:eastAsia="zh-CN"/>
              </w:rPr>
            </w:pPr>
          </w:p>
        </w:tc>
      </w:tr>
    </w:tbl>
    <w:p>
      <w:pPr>
        <w:spacing w:before="144" w:beforeLines="25" w:after="144" w:afterLines="25" w:line="50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MmJhZDU1OGNhNTJlZWI1ZjUwYjY0ZWE0Zjg5MDAifQ=="/>
  </w:docVars>
  <w:rsids>
    <w:rsidRoot w:val="35C87137"/>
    <w:rsid w:val="02DC5CB3"/>
    <w:rsid w:val="058A2288"/>
    <w:rsid w:val="07B1672A"/>
    <w:rsid w:val="0F9425B2"/>
    <w:rsid w:val="15AB2497"/>
    <w:rsid w:val="1A7E2606"/>
    <w:rsid w:val="20D67D8D"/>
    <w:rsid w:val="35C87137"/>
    <w:rsid w:val="41A25D3E"/>
    <w:rsid w:val="4A6F0787"/>
    <w:rsid w:val="4E3A10AC"/>
    <w:rsid w:val="4EB76703"/>
    <w:rsid w:val="5C2E5B4C"/>
    <w:rsid w:val="5D6A375C"/>
    <w:rsid w:val="602435A3"/>
    <w:rsid w:val="6C721879"/>
    <w:rsid w:val="7328244E"/>
    <w:rsid w:val="7BB6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outlineLvl w:val="1"/>
    </w:pPr>
    <w:rPr>
      <w:rFonts w:eastAsia="黑体"/>
      <w:bCs/>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黎明之前朱纯银</cp:lastModifiedBy>
  <dcterms:modified xsi:type="dcterms:W3CDTF">2024-01-04T07:41:46Z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37CC17C4A4B7487A982E61FA412C9010_11</vt:lpwstr>
  </property>
</Properties>
</file>