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12"/>
        <w:gridCol w:w="1338"/>
        <w:gridCol w:w="1137"/>
        <w:gridCol w:w="1463"/>
        <w:gridCol w:w="2662"/>
        <w:gridCol w:w="2050"/>
        <w:gridCol w:w="1650"/>
        <w:gridCol w:w="2089"/>
        <w:gridCol w:w="1066"/>
      </w:tblGrid>
      <w:tr w14:paraId="6A173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18" w:type="dxa"/>
            <w:tcBorders>
              <w:top w:val="single" w:color="auto" w:sz="8" w:space="0"/>
              <w:left w:val="single" w:color="auto" w:sz="8" w:space="0"/>
              <w:bottom w:val="single" w:color="auto" w:sz="4" w:space="0"/>
              <w:right w:val="single" w:color="auto" w:sz="4" w:space="0"/>
            </w:tcBorders>
            <w:noWrap w:val="0"/>
            <w:vAlign w:val="center"/>
          </w:tcPr>
          <w:p w14:paraId="4214C2D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12" w:type="dxa"/>
            <w:tcBorders>
              <w:top w:val="single" w:color="auto" w:sz="8" w:space="0"/>
              <w:left w:val="single" w:color="auto" w:sz="4" w:space="0"/>
              <w:bottom w:val="single" w:color="auto" w:sz="4" w:space="0"/>
              <w:right w:val="single" w:color="auto" w:sz="4" w:space="0"/>
            </w:tcBorders>
            <w:noWrap w:val="0"/>
            <w:vAlign w:val="center"/>
          </w:tcPr>
          <w:p w14:paraId="320B8130">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14:paraId="4004076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338" w:type="dxa"/>
            <w:tcBorders>
              <w:top w:val="single" w:color="auto" w:sz="8" w:space="0"/>
              <w:left w:val="single" w:color="auto" w:sz="4" w:space="0"/>
              <w:bottom w:val="single" w:color="auto" w:sz="4" w:space="0"/>
              <w:right w:val="single" w:color="auto" w:sz="4" w:space="0"/>
            </w:tcBorders>
            <w:noWrap w:val="0"/>
            <w:vAlign w:val="center"/>
          </w:tcPr>
          <w:p w14:paraId="292267F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14:paraId="66D9817C">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137" w:type="dxa"/>
            <w:tcBorders>
              <w:top w:val="single" w:color="auto" w:sz="8" w:space="0"/>
              <w:left w:val="single" w:color="auto" w:sz="4" w:space="0"/>
              <w:bottom w:val="single" w:color="auto" w:sz="4" w:space="0"/>
              <w:right w:val="single" w:color="auto" w:sz="4" w:space="0"/>
            </w:tcBorders>
            <w:noWrap w:val="0"/>
            <w:vAlign w:val="center"/>
          </w:tcPr>
          <w:p w14:paraId="7036B9D1">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463" w:type="dxa"/>
            <w:tcBorders>
              <w:top w:val="single" w:color="auto" w:sz="8" w:space="0"/>
              <w:left w:val="single" w:color="auto" w:sz="4" w:space="0"/>
              <w:bottom w:val="single" w:color="auto" w:sz="4" w:space="0"/>
              <w:right w:val="single" w:color="auto" w:sz="4" w:space="0"/>
            </w:tcBorders>
            <w:noWrap w:val="0"/>
            <w:vAlign w:val="center"/>
          </w:tcPr>
          <w:p w14:paraId="03AE428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0511A6F4">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2662" w:type="dxa"/>
            <w:tcBorders>
              <w:top w:val="single" w:color="auto" w:sz="8" w:space="0"/>
              <w:left w:val="single" w:color="auto" w:sz="4" w:space="0"/>
              <w:bottom w:val="single" w:color="auto" w:sz="4" w:space="0"/>
              <w:right w:val="single" w:color="auto" w:sz="8" w:space="0"/>
            </w:tcBorders>
            <w:noWrap w:val="0"/>
            <w:vAlign w:val="center"/>
          </w:tcPr>
          <w:p w14:paraId="534C750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14:paraId="0E3B951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2050" w:type="dxa"/>
            <w:tcBorders>
              <w:top w:val="single" w:color="auto" w:sz="8" w:space="0"/>
              <w:left w:val="single" w:color="auto" w:sz="4" w:space="0"/>
              <w:bottom w:val="single" w:color="auto" w:sz="4" w:space="0"/>
              <w:right w:val="single" w:color="auto" w:sz="8" w:space="0"/>
            </w:tcBorders>
            <w:noWrap w:val="0"/>
            <w:vAlign w:val="center"/>
          </w:tcPr>
          <w:p w14:paraId="4080DB13">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650" w:type="dxa"/>
            <w:tcBorders>
              <w:top w:val="single" w:color="auto" w:sz="8" w:space="0"/>
              <w:left w:val="single" w:color="auto" w:sz="4" w:space="0"/>
              <w:bottom w:val="single" w:color="auto" w:sz="4" w:space="0"/>
              <w:right w:val="single" w:color="auto" w:sz="8" w:space="0"/>
            </w:tcBorders>
            <w:noWrap w:val="0"/>
            <w:vAlign w:val="center"/>
          </w:tcPr>
          <w:p w14:paraId="1F32BF3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2089" w:type="dxa"/>
            <w:tcBorders>
              <w:top w:val="single" w:color="auto" w:sz="8" w:space="0"/>
              <w:left w:val="single" w:color="auto" w:sz="4" w:space="0"/>
              <w:bottom w:val="single" w:color="auto" w:sz="4" w:space="0"/>
              <w:right w:val="single" w:color="auto" w:sz="8" w:space="0"/>
            </w:tcBorders>
            <w:noWrap w:val="0"/>
            <w:vAlign w:val="center"/>
          </w:tcPr>
          <w:p w14:paraId="23FCDB7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1066" w:type="dxa"/>
            <w:tcBorders>
              <w:top w:val="single" w:color="auto" w:sz="8" w:space="0"/>
              <w:left w:val="single" w:color="auto" w:sz="4" w:space="0"/>
              <w:bottom w:val="single" w:color="auto" w:sz="4" w:space="0"/>
              <w:right w:val="single" w:color="auto" w:sz="8" w:space="0"/>
            </w:tcBorders>
            <w:noWrap w:val="0"/>
            <w:vAlign w:val="center"/>
          </w:tcPr>
          <w:p w14:paraId="121DC70F">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482ED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0" w:hRule="atLeast"/>
        </w:trPr>
        <w:tc>
          <w:tcPr>
            <w:tcW w:w="618" w:type="dxa"/>
            <w:tcBorders>
              <w:top w:val="single" w:color="auto" w:sz="4" w:space="0"/>
              <w:left w:val="single" w:color="auto" w:sz="8" w:space="0"/>
              <w:right w:val="single" w:color="auto" w:sz="4" w:space="0"/>
            </w:tcBorders>
            <w:noWrap w:val="0"/>
            <w:vAlign w:val="center"/>
          </w:tcPr>
          <w:p w14:paraId="514F7AF3">
            <w:pPr>
              <w:spacing w:line="240" w:lineRule="auto"/>
              <w:ind w:firstLine="0" w:firstLineChars="0"/>
              <w:jc w:val="center"/>
              <w:textAlignment w:val="baseline"/>
              <w:rPr>
                <w:rFonts w:hint="default" w:eastAsia="仿宋_GB2312"/>
                <w:sz w:val="24"/>
                <w:u w:val="single" w:color="000000"/>
                <w:lang w:val="en-US" w:eastAsia="zh-CN"/>
              </w:rPr>
            </w:pPr>
            <w:r>
              <w:rPr>
                <w:rFonts w:hint="eastAsia"/>
                <w:sz w:val="24"/>
                <w:u w:val="single" w:color="000000"/>
                <w:lang w:val="en-US" w:eastAsia="zh-CN"/>
              </w:rPr>
              <w:t>2</w:t>
            </w:r>
          </w:p>
        </w:tc>
        <w:tc>
          <w:tcPr>
            <w:tcW w:w="1112" w:type="dxa"/>
            <w:tcBorders>
              <w:top w:val="single" w:color="auto" w:sz="4" w:space="0"/>
              <w:left w:val="single" w:color="auto" w:sz="4" w:space="0"/>
              <w:right w:val="single" w:color="auto" w:sz="4" w:space="0"/>
            </w:tcBorders>
            <w:noWrap w:val="0"/>
            <w:vAlign w:val="center"/>
          </w:tcPr>
          <w:p w14:paraId="5597D581">
            <w:pPr>
              <w:spacing w:line="240" w:lineRule="auto"/>
              <w:ind w:firstLine="0" w:firstLineChars="0"/>
              <w:jc w:val="both"/>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sz w:val="24"/>
                <w:szCs w:val="24"/>
                <w:lang w:val="en-US" w:eastAsia="zh-CN"/>
              </w:rPr>
              <w:t>固原市原州区胜航乡村服务站经营劣兽药案</w:t>
            </w:r>
          </w:p>
        </w:tc>
        <w:tc>
          <w:tcPr>
            <w:tcW w:w="1338" w:type="dxa"/>
            <w:tcBorders>
              <w:top w:val="single" w:color="auto" w:sz="4" w:space="0"/>
              <w:left w:val="single" w:color="auto" w:sz="4" w:space="0"/>
              <w:right w:val="single" w:color="auto" w:sz="4" w:space="0"/>
            </w:tcBorders>
            <w:noWrap w:val="0"/>
            <w:vAlign w:val="center"/>
          </w:tcPr>
          <w:p w14:paraId="66504356">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陆**</w:t>
            </w:r>
          </w:p>
        </w:tc>
        <w:tc>
          <w:tcPr>
            <w:tcW w:w="1137" w:type="dxa"/>
            <w:tcBorders>
              <w:top w:val="single" w:color="auto" w:sz="4" w:space="0"/>
              <w:left w:val="single" w:color="auto" w:sz="4" w:space="0"/>
              <w:right w:val="single" w:color="auto" w:sz="4" w:space="0"/>
            </w:tcBorders>
            <w:noWrap w:val="0"/>
            <w:vAlign w:val="center"/>
          </w:tcPr>
          <w:p w14:paraId="24BE1496">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w:t>
            </w:r>
          </w:p>
        </w:tc>
        <w:tc>
          <w:tcPr>
            <w:tcW w:w="1463" w:type="dxa"/>
            <w:tcBorders>
              <w:top w:val="single" w:color="auto" w:sz="4" w:space="0"/>
              <w:left w:val="single" w:color="auto" w:sz="4" w:space="0"/>
              <w:right w:val="single" w:color="auto" w:sz="4" w:space="0"/>
            </w:tcBorders>
            <w:noWrap w:val="0"/>
            <w:vAlign w:val="center"/>
          </w:tcPr>
          <w:p w14:paraId="14D6147E">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陆**</w:t>
            </w:r>
          </w:p>
        </w:tc>
        <w:tc>
          <w:tcPr>
            <w:tcW w:w="2662" w:type="dxa"/>
            <w:tcBorders>
              <w:top w:val="single" w:color="auto" w:sz="4" w:space="0"/>
              <w:left w:val="single" w:color="auto" w:sz="4" w:space="0"/>
              <w:right w:val="single" w:color="auto" w:sz="8" w:space="0"/>
            </w:tcBorders>
            <w:noWrap w:val="0"/>
            <w:vAlign w:val="top"/>
          </w:tcPr>
          <w:p w14:paraId="2955DC1E">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年3月11日，农业执法人员检查固原市原州区胜航乡村服务站时发现，经营者（陆鹏辉）正在向农户销售标称西乡长江动物药品有限公司生产的氯氰碘柳胺钠注射液(生产日期2023年1月8日，生产批号：20230101，有效期2025年1月7日）2盒超过有效期；销售标称西乡长江动物药品有限公司生产的球地克兽药（生产日期2023年2月9日，生产批号：20230201，有效期2025年2月8日），4盒超过有效期。违反了《兽药管理条例》第二十七条第三款规定：“</w:t>
            </w:r>
            <w:r>
              <w:rPr>
                <w:rFonts w:hint="eastAsia" w:ascii="仿宋_GB2312" w:hAnsi="仿宋_GB2312" w:cs="仿宋_GB2312"/>
                <w:sz w:val="24"/>
                <w:szCs w:val="24"/>
                <w:lang w:val="en-US" w:eastAsia="zh-CN"/>
              </w:rPr>
              <w:t>依照</w:t>
            </w:r>
            <w:r>
              <w:rPr>
                <w:rFonts w:hint="eastAsia" w:ascii="仿宋_GB2312" w:hAnsi="仿宋_GB2312" w:eastAsia="仿宋_GB2312" w:cs="仿宋_GB2312"/>
                <w:sz w:val="24"/>
                <w:szCs w:val="24"/>
                <w:lang w:val="en-US" w:eastAsia="zh-CN"/>
              </w:rPr>
              <w:t>《兽药管理条例》第五十六条规定：“，其行为符合《农业行政处罚程序规定》第三十条规定。</w:t>
            </w:r>
          </w:p>
        </w:tc>
        <w:tc>
          <w:tcPr>
            <w:tcW w:w="2050" w:type="dxa"/>
            <w:tcBorders>
              <w:top w:val="single" w:color="auto" w:sz="4" w:space="0"/>
              <w:left w:val="single" w:color="auto" w:sz="4" w:space="0"/>
              <w:bottom w:val="single" w:color="auto" w:sz="8" w:space="0"/>
              <w:right w:val="single" w:color="auto" w:sz="8" w:space="0"/>
            </w:tcBorders>
            <w:noWrap w:val="0"/>
            <w:vAlign w:val="center"/>
          </w:tcPr>
          <w:p w14:paraId="5A92C9E6">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依照</w:t>
            </w:r>
            <w:r>
              <w:rPr>
                <w:rFonts w:hint="eastAsia" w:ascii="仿宋_GB2312" w:hAnsi="仿宋_GB2312" w:eastAsia="仿宋_GB2312" w:cs="仿宋_GB2312"/>
                <w:sz w:val="24"/>
                <w:szCs w:val="24"/>
                <w:lang w:val="en-US" w:eastAsia="zh-CN"/>
              </w:rPr>
              <w:t>《兽药管理条例》第五十六条规定：</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参照《农业农村部规范农业行政处罚自由裁量权》（180号）第十一条第一项和《宁夏回族自治区农业行政处罚自由裁量基准》[十四、兽药（一）]规定。本机关作出如下处罚决定：1.没收违法经营的劣兽药；2.没收违法所得32.00元；</w:t>
            </w:r>
          </w:p>
          <w:p w14:paraId="489F845C">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3.</w:t>
            </w:r>
            <w:r>
              <w:rPr>
                <w:rFonts w:hint="eastAsia" w:ascii="仿宋_GB2312" w:hAnsi="仿宋_GB2312" w:eastAsia="仿宋_GB2312" w:cs="仿宋_GB2312"/>
                <w:sz w:val="24"/>
                <w:szCs w:val="24"/>
                <w:lang w:val="en-US" w:eastAsia="zh-CN"/>
              </w:rPr>
              <w:t>罚款312.00元整（按货值总金额104元3倍罚款）；</w:t>
            </w:r>
          </w:p>
          <w:p w14:paraId="6F7771C0">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合计罚（没）款344.00元整。</w:t>
            </w:r>
          </w:p>
          <w:p w14:paraId="2B66B73A">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eastAsia" w:ascii="仿宋_GB2312" w:hAnsi="仿宋_GB2312" w:eastAsia="仿宋_GB2312" w:cs="仿宋_GB2312"/>
                <w:sz w:val="24"/>
                <w:szCs w:val="24"/>
                <w:lang w:val="en-US" w:eastAsia="zh-CN"/>
              </w:rPr>
            </w:pPr>
          </w:p>
          <w:p w14:paraId="2F31FB58">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u w:val="single" w:color="000000"/>
              </w:rPr>
            </w:pPr>
          </w:p>
        </w:tc>
        <w:tc>
          <w:tcPr>
            <w:tcW w:w="1650" w:type="dxa"/>
            <w:tcBorders>
              <w:top w:val="single" w:color="auto" w:sz="4" w:space="0"/>
              <w:left w:val="single" w:color="auto" w:sz="4" w:space="0"/>
              <w:bottom w:val="single" w:color="auto" w:sz="8" w:space="0"/>
              <w:right w:val="single" w:color="auto" w:sz="8" w:space="0"/>
            </w:tcBorders>
            <w:noWrap w:val="0"/>
            <w:vAlign w:val="center"/>
          </w:tcPr>
          <w:p w14:paraId="24F1B094">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14:paraId="1EBD3B42">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eastAsia="仿宋_GB2312" w:cs="仿宋_GB2312"/>
                <w:sz w:val="24"/>
                <w:szCs w:val="24"/>
                <w:u w:val="single" w:color="000000"/>
              </w:rPr>
            </w:pPr>
          </w:p>
        </w:tc>
        <w:tc>
          <w:tcPr>
            <w:tcW w:w="2089" w:type="dxa"/>
            <w:tcBorders>
              <w:top w:val="single" w:color="auto" w:sz="4" w:space="0"/>
              <w:left w:val="single" w:color="auto" w:sz="4" w:space="0"/>
              <w:bottom w:val="single" w:color="auto" w:sz="8" w:space="0"/>
              <w:right w:val="single" w:color="auto" w:sz="8" w:space="0"/>
            </w:tcBorders>
            <w:noWrap w:val="0"/>
            <w:vAlign w:val="center"/>
          </w:tcPr>
          <w:p w14:paraId="42AE927C">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固原市原州区</w:t>
            </w:r>
          </w:p>
          <w:p w14:paraId="04E07FB4">
            <w:pPr>
              <w:spacing w:line="240" w:lineRule="auto"/>
              <w:ind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农业农村局</w:t>
            </w:r>
            <w:r>
              <w:rPr>
                <w:rFonts w:hint="eastAsia" w:ascii="仿宋_GB2312" w:hAnsi="仿宋_GB2312" w:cs="仿宋_GB2312"/>
                <w:sz w:val="24"/>
                <w:szCs w:val="24"/>
                <w:lang w:val="en-US" w:eastAsia="zh-CN"/>
              </w:rPr>
              <w:t xml:space="preserve">      2025</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4</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23</w:t>
            </w:r>
            <w:bookmarkStart w:id="0" w:name="_GoBack"/>
            <w:bookmarkEnd w:id="0"/>
            <w:r>
              <w:rPr>
                <w:rFonts w:hint="eastAsia" w:ascii="仿宋_GB2312" w:hAnsi="仿宋_GB2312" w:eastAsia="仿宋_GB2312" w:cs="仿宋_GB2312"/>
                <w:sz w:val="24"/>
                <w:szCs w:val="24"/>
                <w:lang w:val="en-US" w:eastAsia="zh-CN"/>
              </w:rPr>
              <w:t>日</w:t>
            </w:r>
          </w:p>
        </w:tc>
        <w:tc>
          <w:tcPr>
            <w:tcW w:w="1066" w:type="dxa"/>
            <w:tcBorders>
              <w:top w:val="single" w:color="auto" w:sz="4" w:space="0"/>
              <w:left w:val="single" w:color="auto" w:sz="4" w:space="0"/>
              <w:bottom w:val="single" w:color="auto" w:sz="8" w:space="0"/>
              <w:right w:val="single" w:color="auto" w:sz="8" w:space="0"/>
            </w:tcBorders>
            <w:noWrap w:val="0"/>
            <w:vAlign w:val="center"/>
          </w:tcPr>
          <w:p w14:paraId="36D0FD71">
            <w:pPr>
              <w:spacing w:line="240" w:lineRule="auto"/>
              <w:ind w:firstLine="0" w:firstLineChars="0"/>
              <w:jc w:val="center"/>
              <w:textAlignment w:val="baseline"/>
              <w:rPr>
                <w:rFonts w:hint="default"/>
                <w:sz w:val="24"/>
                <w:u w:val="none" w:color="auto"/>
                <w:lang w:val="en-US" w:eastAsia="zh-CN"/>
              </w:rPr>
            </w:pPr>
          </w:p>
          <w:p w14:paraId="631C288E">
            <w:pPr>
              <w:pStyle w:val="2"/>
              <w:rPr>
                <w:rFonts w:hint="default"/>
                <w:lang w:val="en-US" w:eastAsia="zh-CN"/>
              </w:rPr>
            </w:pPr>
          </w:p>
        </w:tc>
      </w:tr>
    </w:tbl>
    <w:p w14:paraId="052FCE7B">
      <w:pPr>
        <w:ind w:firstLine="2520" w:firstLineChars="700"/>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44B2A"/>
    <w:rsid w:val="1DA44B2A"/>
    <w:rsid w:val="77AA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648</Words>
  <Characters>726</Characters>
  <Lines>0</Lines>
  <Paragraphs>0</Paragraphs>
  <TotalTime>1</TotalTime>
  <ScaleCrop>false</ScaleCrop>
  <LinksUpToDate>false</LinksUpToDate>
  <CharactersWithSpaces>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2025-04-27T08:53:00Z</dcterms:created>
  <dc:creator>黎明之前朱纯银</dc:creator>
  <cp:lastModifiedBy>黎明之前朱纯银</cp:lastModifiedBy>
  <dcterms:modified xsi:type="dcterms:W3CDTF">2025-04-28T07:36:40Z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9921A5594CD3467A8FA4008B6BD618BE_11</vt:lpwstr>
  </property>
  <property fmtid="{D5CDD505-2E9C-101B-9397-08002B2CF9AE}" pid="4" name="KSOTemplateDocerSaveRecord">
    <vt:lpwstr>eyJoZGlkIjoiMzFjMmJhZDU1OGNhNTJlZWI1ZjUwYjY0ZWE0Zjg5MDAiLCJ1c2VySWQiOiI0NDI3NDA0MDcifQ==</vt:lpwstr>
  </property>
</Properties>
</file>