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858" w:tblpY="2644"/>
        <w:tblOverlap w:val="never"/>
        <w:tblW w:w="1518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12"/>
        <w:gridCol w:w="1338"/>
        <w:gridCol w:w="1137"/>
        <w:gridCol w:w="1463"/>
        <w:gridCol w:w="2662"/>
        <w:gridCol w:w="1888"/>
        <w:gridCol w:w="1562"/>
        <w:gridCol w:w="1763"/>
        <w:gridCol w:w="1642"/>
      </w:tblGrid>
      <w:tr w14:paraId="00271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18" w:type="dxa"/>
            <w:tcBorders>
              <w:top w:val="single" w:color="auto" w:sz="8" w:space="0"/>
              <w:left w:val="single" w:color="auto" w:sz="8" w:space="0"/>
              <w:bottom w:val="single" w:color="auto" w:sz="4" w:space="0"/>
              <w:right w:val="single" w:color="auto" w:sz="4" w:space="0"/>
            </w:tcBorders>
            <w:noWrap w:val="0"/>
            <w:vAlign w:val="center"/>
          </w:tcPr>
          <w:p w14:paraId="67CFD4BD">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12" w:type="dxa"/>
            <w:tcBorders>
              <w:top w:val="single" w:color="auto" w:sz="8" w:space="0"/>
              <w:left w:val="single" w:color="auto" w:sz="4" w:space="0"/>
              <w:bottom w:val="single" w:color="auto" w:sz="4" w:space="0"/>
              <w:right w:val="single" w:color="auto" w:sz="4" w:space="0"/>
            </w:tcBorders>
            <w:noWrap w:val="0"/>
            <w:vAlign w:val="center"/>
          </w:tcPr>
          <w:p w14:paraId="1F962DB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案件</w:t>
            </w:r>
          </w:p>
          <w:p w14:paraId="164D96D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名称</w:t>
            </w:r>
          </w:p>
        </w:tc>
        <w:tc>
          <w:tcPr>
            <w:tcW w:w="1338" w:type="dxa"/>
            <w:tcBorders>
              <w:top w:val="single" w:color="auto" w:sz="8" w:space="0"/>
              <w:left w:val="single" w:color="auto" w:sz="4" w:space="0"/>
              <w:bottom w:val="single" w:color="auto" w:sz="4" w:space="0"/>
              <w:right w:val="single" w:color="auto" w:sz="4" w:space="0"/>
            </w:tcBorders>
            <w:noWrap w:val="0"/>
            <w:vAlign w:val="center"/>
          </w:tcPr>
          <w:p w14:paraId="46B0AAE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违法主体</w:t>
            </w:r>
          </w:p>
          <w:p w14:paraId="48B111DA">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名称或姓名</w:t>
            </w:r>
          </w:p>
        </w:tc>
        <w:tc>
          <w:tcPr>
            <w:tcW w:w="1137" w:type="dxa"/>
            <w:tcBorders>
              <w:top w:val="single" w:color="auto" w:sz="8" w:space="0"/>
              <w:left w:val="single" w:color="auto" w:sz="4" w:space="0"/>
              <w:bottom w:val="single" w:color="auto" w:sz="4" w:space="0"/>
              <w:right w:val="single" w:color="auto" w:sz="4" w:space="0"/>
            </w:tcBorders>
            <w:noWrap w:val="0"/>
            <w:vAlign w:val="center"/>
          </w:tcPr>
          <w:p w14:paraId="56BCE56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违法企业组织机构代码</w:t>
            </w:r>
          </w:p>
        </w:tc>
        <w:tc>
          <w:tcPr>
            <w:tcW w:w="1463" w:type="dxa"/>
            <w:tcBorders>
              <w:top w:val="single" w:color="auto" w:sz="8" w:space="0"/>
              <w:left w:val="single" w:color="auto" w:sz="4" w:space="0"/>
              <w:bottom w:val="single" w:color="auto" w:sz="4" w:space="0"/>
              <w:right w:val="single" w:color="auto" w:sz="4" w:space="0"/>
            </w:tcBorders>
            <w:noWrap w:val="0"/>
            <w:vAlign w:val="center"/>
          </w:tcPr>
          <w:p w14:paraId="385F6D0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14:paraId="5A7623C3">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2662" w:type="dxa"/>
            <w:tcBorders>
              <w:top w:val="single" w:color="auto" w:sz="8" w:space="0"/>
              <w:left w:val="single" w:color="auto" w:sz="4" w:space="0"/>
              <w:bottom w:val="single" w:color="auto" w:sz="4" w:space="0"/>
              <w:right w:val="single" w:color="auto" w:sz="8" w:space="0"/>
            </w:tcBorders>
            <w:noWrap w:val="0"/>
            <w:vAlign w:val="center"/>
          </w:tcPr>
          <w:p w14:paraId="3450C90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w:t>
            </w:r>
          </w:p>
          <w:p w14:paraId="23E0617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违法事实</w:t>
            </w:r>
          </w:p>
        </w:tc>
        <w:tc>
          <w:tcPr>
            <w:tcW w:w="1888" w:type="dxa"/>
            <w:tcBorders>
              <w:top w:val="single" w:color="auto" w:sz="8" w:space="0"/>
              <w:left w:val="single" w:color="auto" w:sz="4" w:space="0"/>
              <w:bottom w:val="single" w:color="auto" w:sz="4" w:space="0"/>
              <w:right w:val="single" w:color="auto" w:sz="8" w:space="0"/>
            </w:tcBorders>
            <w:noWrap w:val="0"/>
            <w:vAlign w:val="center"/>
          </w:tcPr>
          <w:p w14:paraId="500B52E9">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行政处罚种类和依据</w:t>
            </w:r>
          </w:p>
        </w:tc>
        <w:tc>
          <w:tcPr>
            <w:tcW w:w="1562" w:type="dxa"/>
            <w:tcBorders>
              <w:top w:val="single" w:color="auto" w:sz="8" w:space="0"/>
              <w:left w:val="single" w:color="auto" w:sz="4" w:space="0"/>
              <w:bottom w:val="single" w:color="auto" w:sz="4" w:space="0"/>
              <w:right w:val="single" w:color="auto" w:sz="8" w:space="0"/>
            </w:tcBorders>
            <w:noWrap w:val="0"/>
            <w:vAlign w:val="center"/>
          </w:tcPr>
          <w:p w14:paraId="14B81CE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行政处罚履行方式和期限</w:t>
            </w:r>
          </w:p>
        </w:tc>
        <w:tc>
          <w:tcPr>
            <w:tcW w:w="1763" w:type="dxa"/>
            <w:tcBorders>
              <w:top w:val="single" w:color="auto" w:sz="8" w:space="0"/>
              <w:left w:val="single" w:color="auto" w:sz="4" w:space="0"/>
              <w:bottom w:val="single" w:color="auto" w:sz="4" w:space="0"/>
              <w:right w:val="single" w:color="auto" w:sz="8" w:space="0"/>
            </w:tcBorders>
            <w:noWrap w:val="0"/>
            <w:vAlign w:val="center"/>
          </w:tcPr>
          <w:p w14:paraId="11FAE01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作出行政处罚的机关名称和日期</w:t>
            </w:r>
          </w:p>
        </w:tc>
        <w:tc>
          <w:tcPr>
            <w:tcW w:w="1642" w:type="dxa"/>
            <w:tcBorders>
              <w:top w:val="single" w:color="auto" w:sz="8" w:space="0"/>
              <w:left w:val="single" w:color="auto" w:sz="4" w:space="0"/>
              <w:bottom w:val="single" w:color="auto" w:sz="4" w:space="0"/>
              <w:right w:val="single" w:color="auto" w:sz="8" w:space="0"/>
            </w:tcBorders>
            <w:noWrap w:val="0"/>
            <w:vAlign w:val="center"/>
          </w:tcPr>
          <w:p w14:paraId="4327A6F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14:paraId="20F56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0" w:hRule="atLeast"/>
        </w:trPr>
        <w:tc>
          <w:tcPr>
            <w:tcW w:w="618" w:type="dxa"/>
            <w:tcBorders>
              <w:top w:val="single" w:color="auto" w:sz="4" w:space="0"/>
              <w:left w:val="single" w:color="auto" w:sz="8" w:space="0"/>
              <w:right w:val="single" w:color="auto" w:sz="4" w:space="0"/>
            </w:tcBorders>
            <w:noWrap w:val="0"/>
            <w:vAlign w:val="center"/>
          </w:tcPr>
          <w:p w14:paraId="1838300D">
            <w:pPr>
              <w:spacing w:line="240" w:lineRule="auto"/>
              <w:ind w:firstLine="0" w:firstLineChars="0"/>
              <w:jc w:val="center"/>
              <w:textAlignment w:val="baseline"/>
              <w:rPr>
                <w:rFonts w:hint="eastAsia" w:eastAsia="仿宋_GB2312"/>
                <w:sz w:val="24"/>
                <w:u w:val="single" w:color="000000"/>
                <w:lang w:val="en-US" w:eastAsia="zh-CN"/>
              </w:rPr>
            </w:pPr>
            <w:r>
              <w:rPr>
                <w:rFonts w:hint="eastAsia"/>
                <w:sz w:val="24"/>
                <w:u w:val="none" w:color="auto"/>
                <w:lang w:val="en-US" w:eastAsia="zh-CN"/>
              </w:rPr>
              <w:t>1</w:t>
            </w:r>
          </w:p>
        </w:tc>
        <w:tc>
          <w:tcPr>
            <w:tcW w:w="1112" w:type="dxa"/>
            <w:tcBorders>
              <w:top w:val="single" w:color="auto" w:sz="4" w:space="0"/>
              <w:left w:val="single" w:color="auto" w:sz="4" w:space="0"/>
              <w:right w:val="single" w:color="auto" w:sz="4" w:space="0"/>
            </w:tcBorders>
            <w:noWrap w:val="0"/>
            <w:vAlign w:val="center"/>
          </w:tcPr>
          <w:p w14:paraId="3A247334">
            <w:pPr>
              <w:spacing w:line="240" w:lineRule="auto"/>
              <w:ind w:firstLine="0" w:firstLineChars="0"/>
              <w:jc w:val="both"/>
              <w:textAlignment w:val="baseline"/>
              <w:rPr>
                <w:rFonts w:hint="default" w:ascii="仿宋_GB2312" w:hAnsi="仿宋_GB2312" w:eastAsia="仿宋_GB2312" w:cs="仿宋_GB2312"/>
                <w:sz w:val="24"/>
                <w:szCs w:val="24"/>
                <w:u w:val="single" w:color="000000"/>
                <w:lang w:val="en-US" w:eastAsia="zh-CN"/>
              </w:rPr>
            </w:pPr>
            <w:r>
              <w:rPr>
                <w:rFonts w:hint="eastAsia" w:ascii="Times New Roman" w:hAnsi="Times New Roman" w:eastAsia="仿宋_GB2312" w:cs="Times New Roman"/>
                <w:color w:val="auto"/>
                <w:sz w:val="28"/>
                <w:szCs w:val="28"/>
                <w:lang w:val="en-US" w:eastAsia="zh-CN"/>
              </w:rPr>
              <w:t>吕</w:t>
            </w:r>
            <w:r>
              <w:rPr>
                <w:rFonts w:hint="eastAsia"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乡村兽医服务点涉嫌经营劣兽药案</w:t>
            </w:r>
          </w:p>
        </w:tc>
        <w:tc>
          <w:tcPr>
            <w:tcW w:w="1338" w:type="dxa"/>
            <w:tcBorders>
              <w:top w:val="single" w:color="auto" w:sz="4" w:space="0"/>
              <w:left w:val="single" w:color="auto" w:sz="4" w:space="0"/>
              <w:right w:val="single" w:color="auto" w:sz="4" w:space="0"/>
            </w:tcBorders>
            <w:noWrap w:val="0"/>
            <w:vAlign w:val="center"/>
          </w:tcPr>
          <w:p w14:paraId="3401A085">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吕**</w:t>
            </w:r>
          </w:p>
        </w:tc>
        <w:tc>
          <w:tcPr>
            <w:tcW w:w="1137" w:type="dxa"/>
            <w:tcBorders>
              <w:top w:val="single" w:color="auto" w:sz="4" w:space="0"/>
              <w:left w:val="single" w:color="auto" w:sz="4" w:space="0"/>
              <w:right w:val="single" w:color="auto" w:sz="4" w:space="0"/>
            </w:tcBorders>
            <w:noWrap w:val="0"/>
            <w:vAlign w:val="center"/>
          </w:tcPr>
          <w:p w14:paraId="3C7E9E46">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w:t>
            </w:r>
          </w:p>
        </w:tc>
        <w:tc>
          <w:tcPr>
            <w:tcW w:w="1463" w:type="dxa"/>
            <w:tcBorders>
              <w:top w:val="single" w:color="auto" w:sz="4" w:space="0"/>
              <w:left w:val="single" w:color="auto" w:sz="4" w:space="0"/>
              <w:right w:val="single" w:color="auto" w:sz="4" w:space="0"/>
            </w:tcBorders>
            <w:noWrap w:val="0"/>
            <w:vAlign w:val="center"/>
          </w:tcPr>
          <w:p w14:paraId="7C04B2E1">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吕**</w:t>
            </w:r>
          </w:p>
        </w:tc>
        <w:tc>
          <w:tcPr>
            <w:tcW w:w="2662" w:type="dxa"/>
            <w:tcBorders>
              <w:top w:val="single" w:color="auto" w:sz="4" w:space="0"/>
              <w:left w:val="single" w:color="auto" w:sz="4" w:space="0"/>
              <w:right w:val="single" w:color="auto" w:sz="8" w:space="0"/>
            </w:tcBorders>
            <w:noWrap w:val="0"/>
            <w:vAlign w:val="top"/>
          </w:tcPr>
          <w:p w14:paraId="10A55567">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11日固原市原州区农业执法人员在日常时，发现（位于固原市原州区彭堡镇河东兽医）吕广利正在向农户销售标称成都博大金点生物科技有限公司生产的牛羊禽泻痢口服康兽药，（生产日期2023年2月15日，生产批号：20230203，有限期2025年2月14日，规格；每1ml相当于原生药1g，包装；20mlx10支/盒），超过有效期。为，违反了《兽药管理条例》第二十七条第三款规定：“</w:t>
            </w:r>
            <w:r>
              <w:rPr>
                <w:rFonts w:hint="eastAsia" w:ascii="仿宋_GB2312" w:hAnsi="仿宋_GB2312" w:cs="仿宋_GB2312"/>
                <w:sz w:val="24"/>
                <w:szCs w:val="24"/>
                <w:lang w:val="en-US" w:eastAsia="zh-CN"/>
              </w:rPr>
              <w:t>依照</w:t>
            </w:r>
            <w:r>
              <w:rPr>
                <w:rFonts w:hint="eastAsia" w:ascii="仿宋_GB2312" w:hAnsi="仿宋_GB2312" w:eastAsia="仿宋_GB2312" w:cs="仿宋_GB2312"/>
                <w:sz w:val="24"/>
                <w:szCs w:val="24"/>
                <w:lang w:val="en-US" w:eastAsia="zh-CN"/>
              </w:rPr>
              <w:t>《兽药管理条例》第五十六条规定：“，其行为符合《农业行政处罚程序规定》第三十条规定。</w:t>
            </w:r>
          </w:p>
        </w:tc>
        <w:tc>
          <w:tcPr>
            <w:tcW w:w="1888" w:type="dxa"/>
            <w:tcBorders>
              <w:top w:val="single" w:color="auto" w:sz="4" w:space="0"/>
              <w:left w:val="single" w:color="auto" w:sz="4" w:space="0"/>
              <w:bottom w:val="single" w:color="auto" w:sz="8" w:space="0"/>
              <w:right w:val="single" w:color="auto" w:sz="8" w:space="0"/>
            </w:tcBorders>
            <w:noWrap w:val="0"/>
            <w:vAlign w:val="center"/>
          </w:tcPr>
          <w:p w14:paraId="46457AC7">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依照</w:t>
            </w:r>
            <w:r>
              <w:rPr>
                <w:rFonts w:hint="eastAsia" w:ascii="仿宋_GB2312" w:hAnsi="仿宋_GB2312" w:eastAsia="仿宋_GB2312" w:cs="仿宋_GB2312"/>
                <w:sz w:val="24"/>
                <w:szCs w:val="24"/>
                <w:lang w:val="en-US" w:eastAsia="zh-CN"/>
              </w:rPr>
              <w:t>《兽药管理条例》第五十六条规定：</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参照《农业农村部规范农业行政处罚自由裁量权》（180号）第十一条第一项和《宁夏回族自治区农业行政处罚自由裁量基准》[十四、兽药（一）]规定。本机关作出如下处罚决定：</w:t>
            </w:r>
          </w:p>
          <w:p w14:paraId="64322101">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1.没收违法经营的劣兽药；</w:t>
            </w:r>
          </w:p>
          <w:p w14:paraId="2D6E65D2">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2.没收违法所得260.00元；</w:t>
            </w:r>
          </w:p>
          <w:p w14:paraId="03E0F4BF">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3.罚款.420.00元整（按货值总金额140元3倍罚款）；</w:t>
            </w:r>
          </w:p>
          <w:p w14:paraId="7B9D44F2">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合计罚（没）款680.00元整。</w:t>
            </w:r>
          </w:p>
          <w:p w14:paraId="5BCC0302">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u w:val="single" w:color="000000"/>
              </w:rPr>
            </w:pPr>
          </w:p>
        </w:tc>
        <w:tc>
          <w:tcPr>
            <w:tcW w:w="1562" w:type="dxa"/>
            <w:tcBorders>
              <w:top w:val="single" w:color="auto" w:sz="4" w:space="0"/>
              <w:left w:val="single" w:color="auto" w:sz="4" w:space="0"/>
              <w:bottom w:val="single" w:color="auto" w:sz="8" w:space="0"/>
              <w:right w:val="single" w:color="auto" w:sz="8" w:space="0"/>
            </w:tcBorders>
            <w:noWrap w:val="0"/>
            <w:vAlign w:val="center"/>
          </w:tcPr>
          <w:p w14:paraId="03E1BD2B">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lang w:eastAsia="zh-CN"/>
              </w:rPr>
              <w:t>应当</w:t>
            </w:r>
            <w:r>
              <w:rPr>
                <w:rFonts w:hint="eastAsia" w:ascii="仿宋_GB2312" w:hAnsi="仿宋_GB2312" w:eastAsia="仿宋_GB2312" w:cs="仿宋_GB2312"/>
                <w:sz w:val="24"/>
                <w:szCs w:val="24"/>
              </w:rPr>
              <w:t>在收到本处罚决定书之日起15日内持本决定书到</w:t>
            </w:r>
            <w:r>
              <w:rPr>
                <w:rFonts w:hint="eastAsia" w:ascii="仿宋_GB2312" w:hAnsi="仿宋_GB2312" w:eastAsia="仿宋_GB2312" w:cs="仿宋_GB2312"/>
                <w:sz w:val="24"/>
                <w:szCs w:val="24"/>
                <w:lang w:val="en-US" w:eastAsia="zh-CN"/>
              </w:rPr>
              <w:t>中国建设银行</w:t>
            </w:r>
            <w:r>
              <w:rPr>
                <w:rFonts w:hint="eastAsia" w:ascii="仿宋_GB2312" w:hAnsi="仿宋_GB2312" w:cs="仿宋_GB2312"/>
                <w:sz w:val="24"/>
                <w:szCs w:val="24"/>
                <w:lang w:val="en-US" w:eastAsia="zh-CN"/>
              </w:rPr>
              <w:t>股份有限公司</w:t>
            </w:r>
            <w:r>
              <w:rPr>
                <w:rFonts w:hint="eastAsia" w:ascii="仿宋_GB2312" w:hAnsi="仿宋_GB2312" w:eastAsia="仿宋_GB2312" w:cs="仿宋_GB2312"/>
                <w:sz w:val="24"/>
                <w:szCs w:val="24"/>
                <w:lang w:val="en-US" w:eastAsia="zh-CN"/>
              </w:rPr>
              <w:t>固原</w:t>
            </w:r>
            <w:r>
              <w:rPr>
                <w:rFonts w:hint="eastAsia" w:ascii="仿宋_GB2312" w:hAnsi="仿宋_GB2312" w:cs="仿宋_GB2312"/>
                <w:sz w:val="24"/>
                <w:szCs w:val="24"/>
                <w:lang w:val="en-US" w:eastAsia="zh-CN"/>
              </w:rPr>
              <w:t>分</w:t>
            </w:r>
            <w:r>
              <w:rPr>
                <w:rFonts w:hint="eastAsia" w:ascii="仿宋_GB2312" w:hAnsi="仿宋_GB2312" w:eastAsia="仿宋_GB2312" w:cs="仿宋_GB2312"/>
                <w:sz w:val="24"/>
                <w:szCs w:val="24"/>
                <w:lang w:val="en-US" w:eastAsia="zh-CN"/>
              </w:rPr>
              <w:t>行（地址：固原市原州区</w:t>
            </w:r>
            <w:r>
              <w:rPr>
                <w:rFonts w:hint="eastAsia" w:ascii="仿宋_GB2312" w:hAnsi="仿宋_GB2312" w:cs="仿宋_GB2312"/>
                <w:sz w:val="24"/>
                <w:szCs w:val="24"/>
                <w:lang w:val="en-US" w:eastAsia="zh-CN"/>
              </w:rPr>
              <w:t>中山南</w:t>
            </w:r>
            <w:r>
              <w:rPr>
                <w:rFonts w:hint="eastAsia" w:ascii="仿宋_GB2312" w:hAnsi="仿宋_GB2312" w:eastAsia="仿宋_GB2312" w:cs="仿宋_GB2312"/>
                <w:sz w:val="24"/>
                <w:szCs w:val="24"/>
                <w:lang w:val="en-US" w:eastAsia="zh-CN"/>
              </w:rPr>
              <w:t>街</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账号：6400160010005001</w:t>
            </w:r>
            <w:r>
              <w:rPr>
                <w:rFonts w:hint="eastAsia" w:ascii="仿宋_GB2312" w:hAnsi="仿宋_GB2312" w:cs="仿宋_GB2312"/>
                <w:sz w:val="24"/>
                <w:szCs w:val="24"/>
                <w:highlight w:val="yellow"/>
                <w:lang w:val="en-US" w:eastAsia="zh-CN"/>
              </w:rPr>
              <w:t>****</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或通过微信、手机银行等电子支付系统</w:t>
            </w:r>
            <w:r>
              <w:rPr>
                <w:rFonts w:hint="eastAsia" w:ascii="仿宋_GB2312" w:hAnsi="仿宋_GB2312" w:eastAsia="仿宋_GB2312" w:cs="仿宋_GB2312"/>
                <w:sz w:val="24"/>
                <w:szCs w:val="24"/>
              </w:rPr>
              <w:t>缴纳罚（没）款。逾期不按规定缴纳罚款的，每日按罚款数额的3%加处罚款。</w:t>
            </w:r>
          </w:p>
          <w:p w14:paraId="5CA26994">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仿宋_GB2312" w:hAnsi="仿宋_GB2312" w:eastAsia="仿宋_GB2312" w:cs="仿宋_GB2312"/>
                <w:sz w:val="24"/>
                <w:szCs w:val="24"/>
                <w:u w:val="single" w:color="000000"/>
              </w:rPr>
            </w:pPr>
          </w:p>
        </w:tc>
        <w:tc>
          <w:tcPr>
            <w:tcW w:w="1763" w:type="dxa"/>
            <w:tcBorders>
              <w:top w:val="single" w:color="auto" w:sz="4" w:space="0"/>
              <w:left w:val="single" w:color="auto" w:sz="4" w:space="0"/>
              <w:bottom w:val="single" w:color="auto" w:sz="8" w:space="0"/>
              <w:right w:val="single" w:color="auto" w:sz="8" w:space="0"/>
            </w:tcBorders>
            <w:noWrap w:val="0"/>
            <w:vAlign w:val="center"/>
          </w:tcPr>
          <w:p w14:paraId="18E38E4C">
            <w:pPr>
              <w:spacing w:line="240" w:lineRule="auto"/>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固原市原州区</w:t>
            </w:r>
          </w:p>
          <w:p w14:paraId="1453E1B3">
            <w:pPr>
              <w:spacing w:line="240" w:lineRule="auto"/>
              <w:ind w:firstLine="0" w:firstLineChars="0"/>
              <w:jc w:val="center"/>
              <w:textAlignment w:val="baseline"/>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农业农村局</w:t>
            </w:r>
            <w:r>
              <w:rPr>
                <w:rFonts w:hint="eastAsia" w:ascii="仿宋_GB2312" w:hAnsi="仿宋_GB2312" w:cs="仿宋_GB2312"/>
                <w:sz w:val="24"/>
                <w:szCs w:val="24"/>
                <w:lang w:val="en-US" w:eastAsia="zh-CN"/>
              </w:rPr>
              <w:t xml:space="preserve">      2025</w:t>
            </w:r>
            <w:r>
              <w:rPr>
                <w:rFonts w:hint="eastAsia" w:ascii="仿宋_GB2312" w:hAnsi="仿宋_GB2312" w:eastAsia="仿宋_GB2312" w:cs="仿宋_GB2312"/>
                <w:sz w:val="24"/>
                <w:szCs w:val="24"/>
                <w:lang w:val="en-US" w:eastAsia="zh-CN"/>
              </w:rPr>
              <w:t>年</w:t>
            </w: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lang w:val="en-US" w:eastAsia="zh-CN"/>
              </w:rPr>
              <w:t>月</w:t>
            </w:r>
            <w:r>
              <w:rPr>
                <w:rFonts w:hint="eastAsia" w:ascii="仿宋_GB2312" w:hAnsi="仿宋_GB2312" w:cs="仿宋_GB2312"/>
                <w:sz w:val="24"/>
                <w:szCs w:val="24"/>
                <w:lang w:val="en-US" w:eastAsia="zh-CN"/>
              </w:rPr>
              <w:t>23</w:t>
            </w:r>
            <w:bookmarkStart w:id="0" w:name="_GoBack"/>
            <w:bookmarkEnd w:id="0"/>
            <w:r>
              <w:rPr>
                <w:rFonts w:hint="eastAsia" w:ascii="仿宋_GB2312" w:hAnsi="仿宋_GB2312" w:eastAsia="仿宋_GB2312" w:cs="仿宋_GB2312"/>
                <w:sz w:val="24"/>
                <w:szCs w:val="24"/>
                <w:lang w:val="en-US" w:eastAsia="zh-CN"/>
              </w:rPr>
              <w:t>日</w:t>
            </w:r>
          </w:p>
        </w:tc>
        <w:tc>
          <w:tcPr>
            <w:tcW w:w="1642" w:type="dxa"/>
            <w:tcBorders>
              <w:top w:val="single" w:color="auto" w:sz="4" w:space="0"/>
              <w:left w:val="single" w:color="auto" w:sz="4" w:space="0"/>
              <w:bottom w:val="single" w:color="auto" w:sz="8" w:space="0"/>
              <w:right w:val="single" w:color="auto" w:sz="8" w:space="0"/>
            </w:tcBorders>
            <w:noWrap w:val="0"/>
            <w:vAlign w:val="center"/>
          </w:tcPr>
          <w:p w14:paraId="363F3C68">
            <w:pPr>
              <w:spacing w:line="240" w:lineRule="auto"/>
              <w:ind w:firstLine="0" w:firstLineChars="0"/>
              <w:jc w:val="center"/>
              <w:textAlignment w:val="baseline"/>
              <w:rPr>
                <w:rFonts w:hint="default"/>
                <w:sz w:val="24"/>
                <w:u w:val="none" w:color="auto"/>
                <w:lang w:val="en-US" w:eastAsia="zh-CN"/>
              </w:rPr>
            </w:pPr>
          </w:p>
          <w:p w14:paraId="0DB0DFA6">
            <w:pPr>
              <w:pStyle w:val="2"/>
              <w:rPr>
                <w:rFonts w:hint="default"/>
                <w:lang w:val="en-US" w:eastAsia="zh-CN"/>
              </w:rPr>
            </w:pPr>
          </w:p>
        </w:tc>
      </w:tr>
    </w:tbl>
    <w:p w14:paraId="05FF569F">
      <w:pPr>
        <w:spacing w:before="144" w:beforeLines="25" w:after="144" w:afterLines="25" w:line="500" w:lineRule="exact"/>
        <w:ind w:firstLine="2880" w:firstLineChars="800"/>
        <w:jc w:val="both"/>
        <w:textAlignment w:val="baseline"/>
        <w:rPr>
          <w:sz w:val="36"/>
          <w:szCs w:val="36"/>
        </w:rPr>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zI0OWMwZWFiNGQ5NmU2ZDE2OTZmYTA5YTkwNjMifQ=="/>
  </w:docVars>
  <w:rsids>
    <w:rsidRoot w:val="35C87137"/>
    <w:rsid w:val="01B6221C"/>
    <w:rsid w:val="02DC5CB3"/>
    <w:rsid w:val="058A2288"/>
    <w:rsid w:val="07B1672A"/>
    <w:rsid w:val="0F9425B2"/>
    <w:rsid w:val="12A81030"/>
    <w:rsid w:val="15AB2497"/>
    <w:rsid w:val="1A7E2606"/>
    <w:rsid w:val="200F7270"/>
    <w:rsid w:val="20D67D8D"/>
    <w:rsid w:val="2CF16BCB"/>
    <w:rsid w:val="2E345581"/>
    <w:rsid w:val="2F3C0F4C"/>
    <w:rsid w:val="33C35512"/>
    <w:rsid w:val="35C87137"/>
    <w:rsid w:val="3A4D0C68"/>
    <w:rsid w:val="3E6B3DB3"/>
    <w:rsid w:val="41A25D3E"/>
    <w:rsid w:val="49753D38"/>
    <w:rsid w:val="4A6F0787"/>
    <w:rsid w:val="4E3A10AC"/>
    <w:rsid w:val="4EB76703"/>
    <w:rsid w:val="5C2E5B4C"/>
    <w:rsid w:val="5D6A375C"/>
    <w:rsid w:val="602435A3"/>
    <w:rsid w:val="616204AF"/>
    <w:rsid w:val="6AC82CA3"/>
    <w:rsid w:val="6B2C1649"/>
    <w:rsid w:val="6C721879"/>
    <w:rsid w:val="70235644"/>
    <w:rsid w:val="726452A1"/>
    <w:rsid w:val="7328244E"/>
    <w:rsid w:val="74C671CB"/>
    <w:rsid w:val="75F223AC"/>
    <w:rsid w:val="7BB6070C"/>
    <w:rsid w:val="7C7551DD"/>
    <w:rsid w:val="7E5E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outlineLvl w:val="1"/>
    </w:pPr>
    <w:rPr>
      <w:rFonts w:eastAsia="黑体"/>
      <w:bCs/>
      <w:szCs w:val="32"/>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615</Words>
  <Characters>694</Characters>
  <Lines>0</Lines>
  <Paragraphs>0</Paragraphs>
  <TotalTime>9</TotalTime>
  <ScaleCrop>false</ScaleCrop>
  <LinksUpToDate>false</LinksUpToDate>
  <CharactersWithSpaces>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2023-10-01T03:19:00Z</dcterms:created>
  <dc:creator>Administrator</dc:creator>
  <cp:lastModifiedBy>Administrator</cp:lastModifiedBy>
  <dcterms:modified xsi:type="dcterms:W3CDTF">2025-04-28T07:36:32Z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37CC17C4A4B7487A982E61FA412C9010_11</vt:lpwstr>
  </property>
  <property fmtid="{D5CDD505-2E9C-101B-9397-08002B2CF9AE}" pid="4" name="KSOTemplateDocerSaveRecord">
    <vt:lpwstr>eyJoZGlkIjoiZWY1YzI0OWMwZWFiNGQ5NmU2ZDE2OTZmYTA5YTkwNjMifQ==</vt:lpwstr>
  </property>
</Properties>
</file>