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2023年农产品质量安全监管项目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绩效目标自评报告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（一）项目单位基本情况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我单位实有在编在岗人员3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名，设有主任1名、支部书记1名；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专业技术人员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管理岗人员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人。专业技术人员占实有在编人员的9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6.9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副高职称2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人，中级职称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人，初级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及以下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职称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人。年龄结构情况：30岁以下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人，30-39岁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人，40-49岁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人，50岁及以上1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人。学历结构情况：本科学历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人，大专学历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人，中专学历1人。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（二）项目年度预算绩效目标、绩效指标设定情况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1、项目总目标及阶段目标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（1）总目标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着力推进农业标准化生产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加强农产品质量安全检测准出、全程追溯等制度有效落实，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年开展农产品质量安全监测抽样数量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370个，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主要农产品监测合格率稳定在98%以上，切实保障人民群众“舌尖上的安全”，确保不发生重大农产品质量安全事故。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（2）阶段目标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2023年3月，制定项目实施方案，做好项目实施前的准备工作。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月，在全区范围内开展监测抽检，对不合格产品进行跟踪处理。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2023年11月，对项目进行全面分析总结，并进行绩效自评，形成书面材料报区农业农村局，申请项目验收。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</w:rPr>
        <w:t>指标设定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项目绩效评价体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系由3个一级指标、8个二级指标及8个三级指标体系构成。一级指标包括产出指标、效益指标和满意度指标，分值分别为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0分、40分和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。定量指标按实际完成数计算，绝对值直接累加计算，相对值按照资金额度加权平均计算；定性指标根据完成情况按全部或基本达成预期指标、部分达成预期指标并具有一定效果、未达成预期指标且效果较差三档，分别按照100%-80%（含）、80%-60%（含）、60%-0%合理填写完成比例。通过逐项细化，定量、定性全面分析，满分100分，绩效评价80分以上良好（含），80～60分合格（含），60分以下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格。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绩效考核采用百分制考核，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其中：产出指标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分，效益指标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0分，满意度指标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2、项目基本性质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项目建设性质为新建。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3、项目用途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开展辖区内农产品、畜禽产品、水产品监测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4、项目主要内容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蔬菜及水果产品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监测品种：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蔬菜产品包括番茄、辣椒、黄瓜、茄子、菜豆、长豇豆、芹菜、菜心、结球甘蓝、花椰菜、芫荽、菠菜、叶用莴苣、大白菜、韭菜、普通白菜、萝卜、马铃薯、葱、茼蒿、苦菊、菊花菜等；水果产品包括杏、甜瓜、西瓜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必检项目：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毒死蜱、克百威、氧乐果、乙酰甲胺磷、阿维菌素、噻虫嗪、灭蝇胺、腐霉利、吡虫啉、百菌清、啶虫脒、吡唑醚菌酯、氯氟氰菊酯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畜禽产品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监测品种：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主要包括牛羊肉、猪肉、鸡肉、鸡蛋等。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必检项目：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猪肉中磺胺二甲嘧啶、强力霉素，鸡肉中恩诺沙星、环丙沙星、氧氟沙星，鸡蛋中氟苯尼考、环丙沙星、恩诺沙星、沙拉沙星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（3）水产品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监测品种：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包括鲤鱼、草鱼、鲫鱼等。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必检项目：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产地环节（氧氟沙星、孔雀石绿、氯霉素、地西泮），市场环节（恩诺沙星、环丙沙星、氧氟沙星、孔雀石绿）。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5、涉及范围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原州区范围内种植基地、养殖场、屠宰场、水产养殖场、产地运输车、农产品批发市场及农贸市场等。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二、绩效目标分解下达情况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3" w:firstLineChars="200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（一）自治区下达专项转移支付预算和绩效目标情况。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《自治区财政厅关于提前下达2023年自治区农业农村相关资金预算的通知》（宁财（农）指标〔2022〕639号）、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固原市农业农村局《2023年固原市农产品质量安全监管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项目实施方案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》（固农发〔2023〕11号）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文件精神，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原州区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2023年农产品质量安全监管项目资金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（二）本级分解下达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预算和绩效目标情况。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三、项目资金使用及管理情况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（一）资金投入情况分析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1.项目资金到位情况分析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。全年资金总额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万元，资金来源全部为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自治区财政资金。实际到位资金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万元，资金2023年5月19日到达我单位账户，资金到位率100%。项目资金及时、足额到位。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2.项目资金执行情况分析。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项目全年预算数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万元，全年执行数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12.75687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万元，执行率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%。项目任务全部完成，项目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额完成资金支付，无拖欠支付资金现象。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3.项目资金管理情况分析。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《自治区财政厅关于提前下达2023年自治区农业农村相关资金预算的通知》（宁财（农）指标〔2022〕639号）、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固原市农业农村局《2023年固原市农产品质量安全监管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项目实施方案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》（固农发〔2023〕11号）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文件精神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，切实加强项目资金管理。二是制定了《农业项目实施管理办法》《项目实施流程与资料管理制度》和《财务管理制度》，按照“1会、4审、2签”资金支付流程管理，1会即中心领导班子会议通过后支付；4审即经办人—财务负责人—项目负责人—单位负责人逐级审核通过后支付；2签即2名经手人和2名财务审签人签字通过后支付。三是严格按照财务管理要求，资金支付具备批复文件、采购资料、验收资料、物资发放资料等附件齐全方可支付，切实完善财务管理和资金使用管理制度。综上所述，项目财务制度健全，制度执行严谨，管理程序规范、合法，资金拨付手续完整、有效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（二）总体绩效目标完成情况分析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目标1：在全区开展农产品质量安全监测抽样373个；目标2：农产品质量安全合格率100%。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我大队对项目进行认真分类整理，从项目立项、管理、监督检查、实施、验收、资金下达及使用等方面进行项目汇总、整理，确保项目无遗漏，项目内业资料整齐、规范，为项目绩效自评做好前期准备工作。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（二）组织过程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1、成立了项目绩效自评领导小组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长：白永强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区农技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0"/>
          <w:sz w:val="32"/>
          <w:szCs w:val="32"/>
          <w:lang w:val="en-US" w:eastAsia="zh-CN"/>
        </w:rPr>
        <w:t>中心主任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副组长：何建国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区农技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0"/>
          <w:sz w:val="32"/>
          <w:szCs w:val="32"/>
          <w:lang w:val="en-US" w:eastAsia="zh-CN"/>
        </w:rPr>
        <w:t>中心副主任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员：张兆丽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区农技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kern w:val="0"/>
          <w:sz w:val="32"/>
          <w:szCs w:val="32"/>
          <w:lang w:val="en-US" w:eastAsia="zh-CN"/>
        </w:rPr>
        <w:t>中心干部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      余秀珍  区农技中心干部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王  玲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区农技中心干部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杨海娟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区农技中心干部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项目实施小组负责方案制定，组织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开展农产品监测抽检、室内检测，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按期完成任务，做好项目总结、绩效评价和验收，整理档案资料。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2、召开项目绩效评价专题会议研究建立健全项目绩效评价体系。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对绩效目标评价内容、参考标准和绩效指标进行充实和完善，对投入、产出和效益指标尽可能采取量化绩效目标值，确保绩效评价有数据支撑，提高评价的科学性和合理性。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五、绩效目标完成情况分析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产出指标完成情况分析。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包括数量指标，质量指标，时效指标和成本指标。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项目完成数量。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全年开展农产品畜禽产品、水产品监测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373批次，其中：蔬菜产品200批次，水果10批次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、畜禽产品、水产品163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批次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项目完成质量。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对辖区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种植基地、养殖场、屠宰场、水产养殖场、产地运输车、农产品批发市场及农贸市场等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进行全覆盖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检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  <w:t>农产品抽检合格率100%，无农产品安全事件发生。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项目实施进度。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与计划进度相符；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资金到位及时，支付及时；11月全面总结项目建设工作，开展绩效评估，对项目建设运行情况进行检查验收，对实际运行中存在的问题和意见进行分析，完善项目建设内容环节，实时掌握运行状况。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项目实施按照年初计划进度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偏离绩效目标的因素。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项目成本情况。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项目完成数量达标，项目计划资金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万元，实际支出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12.75687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万元，项目实际完成数量按照项目资金分配进行，完成资金使用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98.13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效益指标完成情况分析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生态效益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项目实施，将加强对农业生产环境以及生产过程的全面监控，化学农药、兽药等使用量明显下降，可减轻环境污染，解决农产品、畜禽产品、水产品农药残留超标，人畜中毒等一系列社会问题，通过降低化学农药、兽药等对环境的污染，逐步实现以生态系统群体健康为主导的有害生物生态治理，改善生态环境，提高人民生活水平和质量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outlineLvl w:val="2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2、社会效益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一是通过检测服务，可以大幅度提高农产品、畜禽产品、水产品质量和安全性，扩大市场占有率和增强市场竞争能力。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二是通过检测服务，可以引导农民及合作社按照市场和消费者的需求进行无公害生产，有效地提高农民收入及农业和农村经济综合效益。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（三）满意度指标。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经问卷抽查，农业经营主体及农户满意度95%。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综合评价结论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和公开情况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</w:rPr>
        <w:t>项目绩效自评得分</w:t>
      </w:r>
      <w:r>
        <w:rPr>
          <w:rFonts w:hint="eastAsia" w:ascii="仿宋_GB2312" w:hAnsi="仿宋_GB2312" w:cs="仿宋_GB2312"/>
          <w:color w:val="auto"/>
          <w:w w:val="100"/>
          <w:sz w:val="32"/>
          <w:szCs w:val="32"/>
          <w:highlight w:val="none"/>
          <w:lang w:val="en-US" w:eastAsia="zh-CN"/>
        </w:rPr>
        <w:t>99.8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</w:rPr>
        <w:t>分，其中：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eastAsia="zh-CN"/>
        </w:rPr>
        <w:t>项目产出指标</w:t>
      </w:r>
      <w:r>
        <w:rPr>
          <w:rFonts w:hint="eastAsia" w:ascii="仿宋_GB2312" w:hAnsi="仿宋_GB2312" w:cs="仿宋_GB2312"/>
          <w:color w:val="auto"/>
          <w:w w:val="100"/>
          <w:sz w:val="32"/>
          <w:szCs w:val="32"/>
          <w:highlight w:val="none"/>
          <w:lang w:val="en-US" w:eastAsia="zh-CN"/>
        </w:rPr>
        <w:t>39.8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</w:rPr>
        <w:t>效益指标</w:t>
      </w:r>
      <w:r>
        <w:rPr>
          <w:rFonts w:hint="eastAsia" w:ascii="仿宋_GB2312" w:hAnsi="仿宋_GB2312" w:cs="仿宋_GB2312"/>
          <w:color w:val="auto"/>
          <w:w w:val="10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</w:rPr>
        <w:t>分，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eastAsia="zh-CN"/>
        </w:rPr>
        <w:t>项目满意度</w:t>
      </w:r>
      <w:r>
        <w:rPr>
          <w:rFonts w:hint="eastAsia" w:ascii="仿宋_GB2312" w:hAnsi="仿宋_GB2312" w:cs="仿宋_GB2312"/>
          <w:color w:val="auto"/>
          <w:w w:val="1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val="en-US" w:eastAsia="zh-CN"/>
        </w:rPr>
        <w:t>分，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</w:rPr>
        <w:t>绩效自评结果为</w:t>
      </w:r>
      <w:r>
        <w:rPr>
          <w:rFonts w:hint="eastAsia" w:ascii="仿宋_GB2312" w:hAnsi="仿宋_GB2312" w:cs="仿宋_GB2312"/>
          <w:color w:val="auto"/>
          <w:w w:val="100"/>
          <w:sz w:val="32"/>
          <w:szCs w:val="32"/>
          <w:highlight w:val="none"/>
          <w:lang w:eastAsia="zh-CN"/>
        </w:rPr>
        <w:t>良好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项目绩效自评结果在单位内部进行公开，使各项目组能互相借鉴，查漏补缺，杜绝同类现象再次出现；其次，将项目绩效自评结果上报上级主管部门和自治区主管部门，由主管部门绩效评价专家组评审；第三，对主管部门反馈的绩效评价评审结果认真整改，为下一年项目实施提供技术支撑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七、绩效自评工作的经验、问题和建议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（一）自评工作经验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1、每一项项目的实施要成立相应的技术指导组。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根据相应的文件要求和项目技术要求，提出切实可行的技术操作方案，并由项目组负责具体实施。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2、项目建设要有专人负责。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管理方要随时检查，保证工作质量和工作进度。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（二）存在的问题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1、专项管理方面的问题。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我单位制定了资金管理办法，该办法还不够规范、成熟。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2、资金分配方面的问题。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制定项目实施方案时考虑不全面，导致项目资金分配不能满足实际需求。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3、合同资金拨付方面的问题。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项目资金的拨付要根据项目的建设情况、验收情况决定，不能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集中支付。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（三）有关建议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1、进一步加大政策扶持。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通过增加项目资金额度，加大投入。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2、加大专项扶持力度。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更加科学、更加精细地谋划和推动主导项目的建设，从而更好地引导带动小项目。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附件：2023年农产品质量安全监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自评表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0" w:firstLine="1920" w:firstLineChars="6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固原市原州区农业技术推广服务中心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0" w:firstLine="3200" w:firstLineChars="1000"/>
        <w:textAlignment w:val="auto"/>
        <w:rPr>
          <w:rFonts w:hint="eastAsia" w:ascii="仿宋_GB2312"/>
          <w:szCs w:val="32"/>
          <w:lang w:eastAsia="zh-CN"/>
        </w:rPr>
      </w:pPr>
      <w:r>
        <w:rPr>
          <w:rFonts w:hint="eastAsia"/>
          <w:lang w:val="en-US" w:eastAsia="zh-CN"/>
        </w:rPr>
        <w:t>2023年11月23日</w:t>
      </w:r>
      <w:bookmarkStart w:id="0" w:name="_GoBack"/>
      <w:bookmarkEnd w:id="0"/>
    </w:p>
    <w:p>
      <w:pPr>
        <w:pStyle w:val="2"/>
        <w:rPr>
          <w:rFonts w:hint="eastAsia" w:ascii="仿宋_GB2312"/>
          <w:szCs w:val="32"/>
          <w:lang w:eastAsia="zh-CN"/>
        </w:rPr>
      </w:pPr>
    </w:p>
    <w:p>
      <w:pPr>
        <w:rPr>
          <w:rFonts w:hint="eastAsia" w:ascii="仿宋_GB2312"/>
          <w:szCs w:val="32"/>
          <w:lang w:eastAsia="zh-CN"/>
        </w:rPr>
      </w:pPr>
    </w:p>
    <w:p>
      <w:pPr>
        <w:pStyle w:val="2"/>
        <w:rPr>
          <w:rFonts w:hint="eastAsia" w:ascii="仿宋_GB2312"/>
          <w:szCs w:val="32"/>
          <w:lang w:eastAsia="zh-CN"/>
        </w:rPr>
      </w:pPr>
    </w:p>
    <w:p>
      <w:pPr>
        <w:rPr>
          <w:rFonts w:hint="eastAsia" w:ascii="仿宋_GB2312"/>
          <w:szCs w:val="32"/>
          <w:lang w:eastAsia="zh-CN"/>
        </w:rPr>
      </w:pPr>
    </w:p>
    <w:p>
      <w:pPr>
        <w:pStyle w:val="2"/>
        <w:rPr>
          <w:rFonts w:hint="eastAsia" w:ascii="仿宋_GB2312"/>
          <w:szCs w:val="32"/>
          <w:lang w:eastAsia="zh-CN"/>
        </w:rPr>
      </w:pPr>
    </w:p>
    <w:p>
      <w:pPr>
        <w:rPr>
          <w:rFonts w:hint="eastAsia" w:ascii="仿宋_GB2312"/>
          <w:szCs w:val="32"/>
          <w:lang w:eastAsia="zh-CN"/>
        </w:rPr>
      </w:pPr>
    </w:p>
    <w:p>
      <w:pPr>
        <w:pStyle w:val="2"/>
        <w:rPr>
          <w:rFonts w:hint="eastAsia" w:ascii="仿宋_GB2312"/>
          <w:szCs w:val="32"/>
          <w:lang w:eastAsia="zh-CN"/>
        </w:rPr>
      </w:pPr>
    </w:p>
    <w:p>
      <w:pPr>
        <w:rPr>
          <w:rFonts w:hint="eastAsia" w:ascii="仿宋_GB2312"/>
          <w:szCs w:val="32"/>
          <w:lang w:eastAsia="zh-CN"/>
        </w:rPr>
      </w:pPr>
    </w:p>
    <w:p>
      <w:pPr>
        <w:pStyle w:val="2"/>
        <w:rPr>
          <w:rFonts w:hint="eastAsia" w:ascii="仿宋_GB231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仿宋_GB231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74"/>
        </w:tabs>
        <w:kinsoku/>
        <w:wordWrap/>
        <w:overflowPunct/>
        <w:topLinePunct w:val="0"/>
        <w:autoSpaceDE/>
        <w:bidi w:val="0"/>
        <w:adjustRightInd/>
        <w:snapToGrid/>
        <w:rPr>
          <w:rFonts w:hint="eastAsia" w:ascii="仿宋_GB231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5241290</wp:posOffset>
              </wp:positionH>
              <wp:positionV relativeFrom="paragraph">
                <wp:posOffset>-340360</wp:posOffset>
              </wp:positionV>
              <wp:extent cx="279400" cy="21717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12.7pt;margin-top:-26.8pt;height:17.1pt;width:22pt;mso-position-horizontal-relative:margin;mso-wrap-style:none;z-index:251659264;mso-width-relative:page;mso-height-relative:page;" filled="f" stroked="f" coordsize="21600,21600" o:gfxdata="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yv6MXYAAAACwEAAA8AAAAAAAAAAQAgAAAAIgAAAGRycy9kb3ducmV2&#10;LnhtbFBLAQIUABQAAAAIAIdO4kDKR8tDwwEAAIoDAAAOAAAAAAAAAAEAIAAAACc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NjYyMmQxMDg1N2M4YzUyOTczY2NlYzE2MWM1NTMifQ=="/>
  </w:docVars>
  <w:rsids>
    <w:rsidRoot w:val="00000000"/>
    <w:rsid w:val="27BD0DC6"/>
    <w:rsid w:val="41C2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next w:val="1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kern w:val="2"/>
      <w:sz w:val="18"/>
      <w:szCs w:val="18"/>
    </w:rPr>
  </w:style>
  <w:style w:type="character" w:customStyle="1" w:styleId="8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2023-12-21T08:46:00Z</dcterms:created>
  <dc:creator>Administrator</dc:creator>
  <cp:lastModifiedBy>.W.</cp:lastModifiedBy>
  <dcterms:modified xsi:type="dcterms:W3CDTF">2023-12-28T10:40:17Z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F6B834ACF2834F3497A1B8CADD1BBB5A_12</vt:lpwstr>
  </property>
</Properties>
</file>