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17" w:tblpY="2"/>
        <w:tblOverlap w:val="never"/>
        <w:tblW w:w="84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18"/>
        <w:gridCol w:w="1130"/>
        <w:gridCol w:w="1399"/>
        <w:gridCol w:w="1704"/>
        <w:gridCol w:w="1023"/>
        <w:gridCol w:w="848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</w:trPr>
        <w:tc>
          <w:tcPr>
            <w:tcW w:w="8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农产品质量安全监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/>
              </w:rPr>
              <w:t>测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</w:rPr>
              <w:t>项目绩效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val="en-US" w:eastAsia="zh-CN"/>
              </w:rPr>
              <w:t>目标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eastAsia="zh-CN"/>
              </w:rPr>
              <w:t>自评表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202</w:t>
            </w:r>
            <w:r>
              <w:rPr>
                <w:rStyle w:val="6"/>
                <w:rFonts w:hint="eastAsia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产品质量安全监测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自治区主管部门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自治区农业农村厅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专项实施期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市县财政部门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原州区财政局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市县主管部门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年度金额：</w:t>
            </w: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其中：自治区补助</w:t>
            </w: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市县资金</w:t>
            </w:r>
          </w:p>
        </w:tc>
        <w:tc>
          <w:tcPr>
            <w:tcW w:w="4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7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在全区开展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农产品质量安全监测抽样370个，合格率达到98%以上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；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农产品质量安全监测抽样数量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373个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残监测合格率高于国家控制指标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指标1：项目及时完成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指标1：监测经费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12.75687万元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指标1：提高农产品质量安全，扩大农产品市场占有率和增强市场竞争能力</w:t>
            </w:r>
          </w:p>
          <w:p>
            <w:pPr>
              <w:pStyle w:val="2"/>
              <w:tabs>
                <w:tab w:val="left" w:pos="8680"/>
              </w:tabs>
              <w:rPr>
                <w:rFonts w:hint="eastAsia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占有率和增强市场竞争能力。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指标1：农药使用次数和农药使用量减少，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决农产品农药残留超标，人畜中毒等，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指标1：提高当地综防控制能力，保护生态平衡和环境安全，提高农作物的品质和产量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指标1：服务对象满意度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0000000"/>
    <w:rsid w:val="4A4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5"/>
    </w:pPr>
    <w:rPr>
      <w:rFonts w:ascii="仿宋_GB2312" w:eastAsia="仿宋_GB2312"/>
      <w:sz w:val="32"/>
    </w:rPr>
  </w:style>
  <w:style w:type="character" w:customStyle="1" w:styleId="6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2023-12-28T10:35:08Z</dcterms:created>
  <dc:creator>Administrator</dc:creator>
  <cp:lastModifiedBy>.W.</cp:lastModifiedBy>
  <dcterms:modified xsi:type="dcterms:W3CDTF">2023-12-28T10:40:45Z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C2DD450052E24E1EA2A153CCF847C115_12</vt:lpwstr>
  </property>
</Properties>
</file>