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79" w:tblpY="90"/>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32"/>
        <w:gridCol w:w="855"/>
        <w:gridCol w:w="555"/>
        <w:gridCol w:w="2013"/>
        <w:gridCol w:w="1028"/>
        <w:gridCol w:w="97"/>
        <w:gridCol w:w="956"/>
        <w:gridCol w:w="491"/>
        <w:gridCol w:w="62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9260" w:type="dxa"/>
            <w:gridSpan w:val="11"/>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rPr>
            </w:pPr>
            <w:r>
              <w:rPr>
                <w:rFonts w:hint="eastAsia" w:ascii="黑体" w:hAnsi="黑体" w:eastAsia="黑体" w:cs="黑体"/>
                <w:b w:val="0"/>
                <w:bCs w:val="0"/>
                <w:sz w:val="32"/>
                <w:szCs w:val="32"/>
                <w:lang w:eastAsia="zh-CN"/>
              </w:rPr>
              <w:t>项</w:t>
            </w:r>
            <w:r>
              <w:rPr>
                <w:rFonts w:hint="eastAsia" w:ascii="黑体" w:hAnsi="黑体" w:eastAsia="黑体" w:cs="黑体"/>
                <w:b w:val="0"/>
                <w:bCs w:val="0"/>
                <w:sz w:val="32"/>
                <w:szCs w:val="32"/>
              </w:rPr>
              <w:t>目支出绩效自评表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eastAsia="zh-CN"/>
              </w:rPr>
            </w:pPr>
            <w:r>
              <w:rPr>
                <w:rFonts w:hint="eastAsia" w:ascii="宋体" w:hAnsi="宋体" w:eastAsia="宋体" w:cs="宋体"/>
              </w:rPr>
              <w:t>（</w:t>
            </w:r>
            <w:r>
              <w:rPr>
                <w:rFonts w:hint="eastAsia" w:ascii="宋体" w:hAnsi="宋体" w:eastAsia="宋体" w:cs="宋体"/>
                <w:lang w:val="en-US" w:eastAsia="zh-CN"/>
              </w:rPr>
              <w:t>2023</w:t>
            </w:r>
            <w:r>
              <w:rPr>
                <w:rFonts w:hint="eastAsia" w:ascii="宋体" w:hAnsi="宋体" w:eastAsia="宋体" w:cs="宋体"/>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9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项目名称</w:t>
            </w:r>
          </w:p>
        </w:tc>
        <w:tc>
          <w:tcPr>
            <w:tcW w:w="7663" w:type="dxa"/>
            <w:gridSpan w:val="9"/>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sz w:val="18"/>
                <w:szCs w:val="18"/>
              </w:rPr>
              <w:t>202</w:t>
            </w:r>
            <w:r>
              <w:rPr>
                <w:rFonts w:hint="eastAsia" w:ascii="宋体" w:hAnsi="宋体" w:eastAsia="宋体" w:cs="宋体"/>
                <w:sz w:val="18"/>
                <w:szCs w:val="18"/>
                <w:lang w:val="en-US" w:eastAsia="zh-CN"/>
              </w:rPr>
              <w:t>3</w:t>
            </w:r>
            <w:r>
              <w:rPr>
                <w:rFonts w:hint="eastAsia" w:ascii="宋体" w:hAnsi="宋体" w:eastAsia="宋体" w:cs="宋体"/>
                <w:sz w:val="18"/>
                <w:szCs w:val="18"/>
              </w:rPr>
              <w:t>年有机肥替代化肥示范项目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主管部门</w:t>
            </w:r>
            <w:r>
              <w:rPr>
                <w:rFonts w:hint="eastAsia" w:ascii="宋体" w:hAnsi="宋体" w:eastAsia="宋体" w:cs="宋体"/>
                <w:sz w:val="18"/>
                <w:szCs w:val="18"/>
                <w:lang w:eastAsia="zh-CN"/>
              </w:rPr>
              <w:t>及代码</w:t>
            </w:r>
          </w:p>
        </w:tc>
        <w:tc>
          <w:tcPr>
            <w:tcW w:w="34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原州区</w:t>
            </w:r>
            <w:r>
              <w:rPr>
                <w:rFonts w:hint="eastAsia" w:ascii="宋体" w:hAnsi="宋体" w:eastAsia="宋体" w:cs="宋体"/>
                <w:sz w:val="18"/>
                <w:szCs w:val="18"/>
              </w:rPr>
              <w:t>农业农村局</w:t>
            </w: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实施</w:t>
            </w:r>
            <w:r>
              <w:rPr>
                <w:rFonts w:hint="eastAsia" w:ascii="宋体" w:hAnsi="宋体" w:eastAsia="宋体" w:cs="宋体"/>
                <w:sz w:val="18"/>
                <w:szCs w:val="18"/>
                <w:lang w:eastAsia="zh-CN"/>
              </w:rPr>
              <w:t>单位</w:t>
            </w:r>
          </w:p>
        </w:tc>
        <w:tc>
          <w:tcPr>
            <w:tcW w:w="311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原州区农业技术推广服务中心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597"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（万元）</w:t>
            </w:r>
          </w:p>
        </w:tc>
        <w:tc>
          <w:tcPr>
            <w:tcW w:w="141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lang w:val="en-US" w:eastAsia="zh-CN"/>
              </w:rPr>
            </w:pP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全年预算数（A）</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eastAsia="zh-CN"/>
              </w:rPr>
            </w:pPr>
          </w:p>
        </w:tc>
        <w:tc>
          <w:tcPr>
            <w:tcW w:w="10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全年执行数（B）</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w w:val="90"/>
                <w:kern w:val="2"/>
                <w:sz w:val="18"/>
                <w:szCs w:val="18"/>
                <w:lang w:val="en-US" w:eastAsia="zh-CN" w:bidi="ar-SA"/>
              </w:rPr>
            </w:pPr>
          </w:p>
        </w:tc>
        <w:tc>
          <w:tcPr>
            <w:tcW w:w="11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执行率（B）</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eastAsia="zh-CN"/>
              </w:rPr>
            </w:pP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597"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41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rPr>
                <w:rFonts w:hint="eastAsia" w:ascii="宋体" w:hAnsi="宋体" w:eastAsia="宋体" w:cs="宋体"/>
                <w:sz w:val="18"/>
                <w:szCs w:val="18"/>
              </w:rPr>
            </w:pPr>
            <w:r>
              <w:rPr>
                <w:rFonts w:hint="eastAsia" w:ascii="宋体" w:hAnsi="宋体" w:eastAsia="宋体" w:cs="宋体"/>
                <w:kern w:val="0"/>
                <w:sz w:val="18"/>
                <w:szCs w:val="18"/>
              </w:rPr>
              <w:t>年度资金总额</w:t>
            </w: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10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105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rPr>
                <w:rFonts w:hint="eastAsia" w:ascii="宋体" w:hAnsi="宋体" w:eastAsia="宋体" w:cs="宋体"/>
                <w:b w:val="0"/>
                <w:bCs w:val="0"/>
                <w:i w:val="0"/>
                <w:caps w:val="0"/>
                <w:color w:val="auto"/>
                <w:spacing w:val="0"/>
                <w:w w:val="100"/>
                <w:kern w:val="2"/>
                <w:sz w:val="18"/>
                <w:szCs w:val="18"/>
                <w:lang w:val="en-US" w:eastAsia="zh-CN" w:bidi="ar-SA"/>
              </w:rPr>
            </w:pPr>
            <w:r>
              <w:rPr>
                <w:rFonts w:hint="eastAsia" w:ascii="宋体" w:hAnsi="宋体" w:eastAsia="宋体" w:cs="宋体"/>
                <w:b w:val="0"/>
                <w:bCs w:val="0"/>
                <w:i w:val="0"/>
                <w:caps w:val="0"/>
                <w:color w:val="auto"/>
                <w:spacing w:val="0"/>
                <w:w w:val="100"/>
                <w:sz w:val="18"/>
                <w:szCs w:val="18"/>
                <w:lang w:val="en-US" w:eastAsia="zh-CN"/>
              </w:rPr>
              <w:t>116.2901</w:t>
            </w:r>
          </w:p>
        </w:tc>
        <w:tc>
          <w:tcPr>
            <w:tcW w:w="11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b w:val="0"/>
                <w:bCs w:val="0"/>
                <w:i w:val="0"/>
                <w:caps w:val="0"/>
                <w:color w:val="auto"/>
                <w:spacing w:val="0"/>
                <w:w w:val="100"/>
                <w:sz w:val="18"/>
                <w:szCs w:val="18"/>
                <w:lang w:val="en-US" w:eastAsia="zh-CN"/>
              </w:rPr>
            </w:pPr>
            <w:r>
              <w:rPr>
                <w:rFonts w:hint="eastAsia" w:ascii="宋体" w:hAnsi="宋体" w:eastAsia="宋体" w:cs="宋体"/>
                <w:b w:val="0"/>
                <w:bCs w:val="0"/>
                <w:i w:val="0"/>
                <w:caps w:val="0"/>
                <w:color w:val="auto"/>
                <w:spacing w:val="0"/>
                <w:w w:val="100"/>
                <w:sz w:val="18"/>
                <w:szCs w:val="18"/>
                <w:lang w:val="en-US" w:eastAsia="zh-CN"/>
              </w:rPr>
              <w:t>99.39%</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b w:val="0"/>
                <w:bCs w:val="0"/>
                <w:i w:val="0"/>
                <w:caps w:val="0"/>
                <w:color w:val="auto"/>
                <w:spacing w:val="0"/>
                <w:w w:val="100"/>
                <w:sz w:val="18"/>
                <w:szCs w:val="18"/>
                <w:lang w:val="en-US" w:eastAsia="zh-CN"/>
              </w:rPr>
            </w:pPr>
            <w:r>
              <w:rPr>
                <w:rFonts w:hint="eastAsia" w:ascii="宋体" w:hAnsi="宋体" w:eastAsia="宋体" w:cs="宋体"/>
                <w:b w:val="0"/>
                <w:bCs w:val="0"/>
                <w:i w:val="0"/>
                <w:caps w:val="0"/>
                <w:color w:val="auto"/>
                <w:spacing w:val="0"/>
                <w:w w:val="100"/>
                <w:sz w:val="18"/>
                <w:szCs w:val="18"/>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97"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41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rPr>
                <w:rFonts w:hint="eastAsia" w:ascii="宋体" w:hAnsi="宋体" w:eastAsia="宋体" w:cs="宋体"/>
                <w:sz w:val="18"/>
                <w:szCs w:val="18"/>
              </w:rPr>
            </w:pPr>
            <w:r>
              <w:rPr>
                <w:rFonts w:hint="eastAsia" w:ascii="宋体" w:hAnsi="宋体" w:eastAsia="宋体" w:cs="宋体"/>
                <w:kern w:val="0"/>
                <w:sz w:val="18"/>
                <w:szCs w:val="18"/>
              </w:rPr>
              <w:t>其中：财政拨款</w:t>
            </w: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10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105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eastAsia" w:ascii="宋体" w:hAnsi="宋体" w:eastAsia="宋体" w:cs="宋体"/>
                <w:b w:val="0"/>
                <w:bCs w:val="0"/>
                <w:i w:val="0"/>
                <w:caps w:val="0"/>
                <w:color w:val="auto"/>
                <w:spacing w:val="0"/>
                <w:w w:val="100"/>
                <w:kern w:val="2"/>
                <w:sz w:val="18"/>
                <w:szCs w:val="18"/>
                <w:lang w:val="en-US" w:eastAsia="zh-CN" w:bidi="ar-SA"/>
              </w:rPr>
            </w:pPr>
            <w:r>
              <w:rPr>
                <w:rFonts w:hint="eastAsia" w:ascii="宋体" w:hAnsi="宋体" w:eastAsia="宋体" w:cs="宋体"/>
                <w:b w:val="0"/>
                <w:bCs w:val="0"/>
                <w:i w:val="0"/>
                <w:caps w:val="0"/>
                <w:color w:val="auto"/>
                <w:spacing w:val="0"/>
                <w:w w:val="100"/>
                <w:sz w:val="18"/>
                <w:szCs w:val="18"/>
                <w:lang w:val="en-US" w:eastAsia="zh-CN"/>
              </w:rPr>
              <w:t>116.2901</w:t>
            </w:r>
          </w:p>
        </w:tc>
        <w:tc>
          <w:tcPr>
            <w:tcW w:w="11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b w:val="0"/>
                <w:bCs w:val="0"/>
                <w:i w:val="0"/>
                <w:caps w:val="0"/>
                <w:color w:val="auto"/>
                <w:spacing w:val="0"/>
                <w:w w:val="100"/>
                <w:sz w:val="18"/>
                <w:szCs w:val="18"/>
                <w:lang w:val="en-US" w:eastAsia="zh-CN"/>
              </w:rPr>
            </w:pPr>
            <w:r>
              <w:rPr>
                <w:rFonts w:hint="eastAsia" w:ascii="宋体" w:hAnsi="宋体" w:eastAsia="宋体" w:cs="宋体"/>
                <w:b w:val="0"/>
                <w:bCs w:val="0"/>
                <w:i w:val="0"/>
                <w:caps w:val="0"/>
                <w:color w:val="auto"/>
                <w:spacing w:val="0"/>
                <w:w w:val="100"/>
                <w:sz w:val="18"/>
                <w:szCs w:val="18"/>
                <w:lang w:val="en-US" w:eastAsia="zh-CN"/>
              </w:rPr>
              <w:t>99.39%</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b w:val="0"/>
                <w:bCs w:val="0"/>
                <w:i w:val="0"/>
                <w:caps w:val="0"/>
                <w:color w:val="auto"/>
                <w:spacing w:val="0"/>
                <w:w w:val="100"/>
                <w:sz w:val="18"/>
                <w:szCs w:val="18"/>
                <w:lang w:val="en-US" w:eastAsia="zh-CN"/>
              </w:rPr>
            </w:pPr>
            <w:r>
              <w:rPr>
                <w:rFonts w:hint="eastAsia" w:ascii="宋体" w:hAnsi="宋体" w:eastAsia="宋体" w:cs="宋体"/>
                <w:b w:val="0"/>
                <w:bCs w:val="0"/>
                <w:i w:val="0"/>
                <w:caps w:val="0"/>
                <w:color w:val="auto"/>
                <w:spacing w:val="0"/>
                <w:w w:val="100"/>
                <w:sz w:val="18"/>
                <w:szCs w:val="18"/>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597"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41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sz w:val="18"/>
                <w:szCs w:val="18"/>
              </w:rPr>
            </w:pPr>
            <w:r>
              <w:rPr>
                <w:rFonts w:hint="eastAsia" w:ascii="宋体" w:hAnsi="宋体" w:eastAsia="宋体" w:cs="宋体"/>
                <w:kern w:val="0"/>
                <w:sz w:val="18"/>
                <w:szCs w:val="18"/>
              </w:rPr>
              <w:t>其他资金</w:t>
            </w: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0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05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center"/>
              <w:rPr>
                <w:rFonts w:hint="eastAsia" w:ascii="宋体" w:hAnsi="宋体" w:eastAsia="宋体" w:cs="宋体"/>
                <w:sz w:val="18"/>
                <w:szCs w:val="18"/>
              </w:rPr>
            </w:pPr>
          </w:p>
        </w:tc>
        <w:tc>
          <w:tcPr>
            <w:tcW w:w="11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both"/>
              <w:rPr>
                <w:rFonts w:hint="eastAsia" w:ascii="宋体" w:hAnsi="宋体" w:eastAsia="宋体" w:cs="宋体"/>
                <w:sz w:val="18"/>
                <w:szCs w:val="18"/>
              </w:rPr>
            </w:pP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24" w:firstLineChars="200"/>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66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355" w:type="dxa"/>
            <w:gridSpan w:val="4"/>
            <w:noWrap w:val="0"/>
            <w:vAlign w:val="center"/>
          </w:tcPr>
          <w:p>
            <w:pPr>
              <w:pStyle w:val="2"/>
              <w:keepNext w:val="0"/>
              <w:keepLines w:val="0"/>
              <w:pageBreakBefore w:val="0"/>
              <w:widowControl w:val="0"/>
              <w:tabs>
                <w:tab w:val="left" w:pos="8680"/>
              </w:tabs>
              <w:kinsoku/>
              <w:wordWrap/>
              <w:overflowPunct/>
              <w:topLinePunct w:val="0"/>
              <w:autoSpaceDE/>
              <w:autoSpaceDN/>
              <w:bidi w:val="0"/>
              <w:adjustRightInd/>
              <w:snapToGrid/>
              <w:spacing w:after="0" w:afterLines="0" w:line="240" w:lineRule="exact"/>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年初设定目标</w:t>
            </w:r>
          </w:p>
        </w:tc>
        <w:tc>
          <w:tcPr>
            <w:tcW w:w="4240" w:type="dxa"/>
            <w:gridSpan w:val="6"/>
            <w:noWrap w:val="0"/>
            <w:vAlign w:val="center"/>
          </w:tcPr>
          <w:p>
            <w:pPr>
              <w:pStyle w:val="2"/>
              <w:keepNext w:val="0"/>
              <w:keepLines w:val="0"/>
              <w:pageBreakBefore w:val="0"/>
              <w:widowControl w:val="0"/>
              <w:tabs>
                <w:tab w:val="left" w:pos="8680"/>
              </w:tabs>
              <w:kinsoku/>
              <w:wordWrap/>
              <w:overflowPunct/>
              <w:topLinePunct w:val="0"/>
              <w:autoSpaceDE/>
              <w:autoSpaceDN/>
              <w:bidi w:val="0"/>
              <w:adjustRightInd/>
              <w:snapToGrid/>
              <w:spacing w:after="0" w:afterLines="0" w:line="240" w:lineRule="exact"/>
              <w:ind w:left="0" w:leftChars="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p>
        </w:tc>
        <w:tc>
          <w:tcPr>
            <w:tcW w:w="4355" w:type="dxa"/>
            <w:gridSpan w:val="4"/>
            <w:noWrap w:val="0"/>
            <w:vAlign w:val="center"/>
          </w:tcPr>
          <w:p>
            <w:pPr>
              <w:pStyle w:val="2"/>
              <w:keepNext w:val="0"/>
              <w:keepLines w:val="0"/>
              <w:pageBreakBefore w:val="0"/>
              <w:widowControl w:val="0"/>
              <w:tabs>
                <w:tab w:val="left" w:pos="8680"/>
              </w:tabs>
              <w:kinsoku/>
              <w:wordWrap/>
              <w:overflowPunct/>
              <w:topLinePunct w:val="0"/>
              <w:autoSpaceDE/>
              <w:autoSpaceDN/>
              <w:bidi w:val="0"/>
              <w:adjustRightInd/>
              <w:snapToGrid/>
              <w:spacing w:after="0" w:afterLines="0" w:line="240" w:lineRule="exact"/>
              <w:ind w:left="0" w:leftChars="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b w:val="0"/>
                <w:bCs w:val="0"/>
                <w:i w:val="0"/>
                <w:color w:val="000000"/>
                <w:kern w:val="0"/>
                <w:sz w:val="18"/>
                <w:szCs w:val="18"/>
                <w:u w:val="none"/>
                <w:lang w:val="en-US" w:eastAsia="zh-CN" w:bidi="ar"/>
              </w:rPr>
              <w:t>建设有机肥替代化肥示范区1.17万亩；宣传培训技术人员及农户不少于150人次；开展有机肥应用试验2个；示范区内化肥施用量减少10%，土壤理化性状改善明显，耕地地力明显提升。</w:t>
            </w:r>
          </w:p>
        </w:tc>
        <w:tc>
          <w:tcPr>
            <w:tcW w:w="42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613"/>
              <w:textAlignment w:val="auto"/>
              <w:rPr>
                <w:rFonts w:hint="default" w:ascii="宋体" w:hAnsi="宋体" w:eastAsia="宋体" w:cs="宋体"/>
                <w:b w:val="0"/>
                <w:bCs w:val="0"/>
                <w:i w:val="0"/>
                <w:color w:val="000000"/>
                <w:w w:val="90"/>
                <w:kern w:val="0"/>
                <w:sz w:val="18"/>
                <w:szCs w:val="18"/>
                <w:u w:val="none"/>
                <w:lang w:val="en-US" w:eastAsia="zh-CN" w:bidi="ar"/>
              </w:rPr>
            </w:pPr>
            <w:r>
              <w:rPr>
                <w:rFonts w:hint="eastAsia" w:ascii="宋体" w:hAnsi="宋体" w:eastAsia="宋体" w:cs="宋体"/>
                <w:b w:val="0"/>
                <w:bCs w:val="0"/>
                <w:i w:val="0"/>
                <w:color w:val="000000"/>
                <w:w w:val="90"/>
                <w:kern w:val="0"/>
                <w:sz w:val="18"/>
                <w:szCs w:val="18"/>
                <w:u w:val="none"/>
                <w:lang w:val="en-US" w:eastAsia="zh-CN" w:bidi="ar"/>
              </w:rPr>
              <w:t>一是建设有机肥替代化肥示范区面积1.17万亩；二是是完成玉米堆肥替减化肥合理用量试验及不同施肥模式堆肥替减化肥优化试验2个；三是培训技术人员及农户150人次；示范区内化肥施用量减少10%。</w:t>
            </w:r>
          </w:p>
          <w:p>
            <w:pPr>
              <w:pStyle w:val="2"/>
              <w:keepNext w:val="0"/>
              <w:keepLines w:val="0"/>
              <w:pageBreakBefore w:val="0"/>
              <w:widowControl w:val="0"/>
              <w:tabs>
                <w:tab w:val="left" w:pos="8680"/>
              </w:tabs>
              <w:kinsoku/>
              <w:wordWrap/>
              <w:overflowPunct/>
              <w:topLinePunct w:val="0"/>
              <w:autoSpaceDE/>
              <w:autoSpaceDN/>
              <w:bidi w:val="0"/>
              <w:adjustRightInd/>
              <w:snapToGrid/>
              <w:spacing w:after="0" w:afterLines="0" w:line="260" w:lineRule="exact"/>
              <w:ind w:left="0" w:leftChars="0" w:firstLine="162" w:firstLineChars="100"/>
              <w:textAlignment w:val="auto"/>
              <w:rPr>
                <w:rFonts w:hint="eastAsia" w:ascii="宋体" w:hAnsi="宋体" w:eastAsia="宋体" w:cs="宋体"/>
                <w:b w:val="0"/>
                <w:bCs w:val="0"/>
                <w:i w:val="0"/>
                <w:color w:val="000000"/>
                <w:w w:val="9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665" w:type="dxa"/>
            <w:vMerge w:val="restart"/>
            <w:noWrap w:val="0"/>
            <w:vAlign w:val="center"/>
          </w:tcPr>
          <w:p>
            <w:pPr>
              <w:keepNext w:val="0"/>
              <w:keepLines w:val="0"/>
              <w:pageBreakBefore w:val="0"/>
              <w:tabs>
                <w:tab w:val="left" w:pos="375"/>
              </w:tabs>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绩</w:t>
            </w:r>
          </w:p>
          <w:p>
            <w:pPr>
              <w:keepNext w:val="0"/>
              <w:keepLines w:val="0"/>
              <w:pageBreakBefore w:val="0"/>
              <w:tabs>
                <w:tab w:val="left" w:pos="375"/>
              </w:tabs>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效</w:t>
            </w:r>
          </w:p>
          <w:p>
            <w:pPr>
              <w:keepNext w:val="0"/>
              <w:keepLines w:val="0"/>
              <w:pageBreakBefore w:val="0"/>
              <w:tabs>
                <w:tab w:val="left" w:pos="375"/>
              </w:tabs>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指</w:t>
            </w:r>
          </w:p>
          <w:p>
            <w:pPr>
              <w:keepNext w:val="0"/>
              <w:keepLines w:val="0"/>
              <w:pageBreakBefore w:val="0"/>
              <w:tabs>
                <w:tab w:val="left" w:pos="375"/>
              </w:tabs>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标</w:t>
            </w:r>
          </w:p>
          <w:p>
            <w:pPr>
              <w:keepNext w:val="0"/>
              <w:keepLines w:val="0"/>
              <w:pageBreakBefore w:val="0"/>
              <w:tabs>
                <w:tab w:val="left" w:pos="375"/>
              </w:tabs>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100分</w:t>
            </w:r>
            <w:r>
              <w:rPr>
                <w:rFonts w:hint="eastAsia" w:ascii="宋体" w:hAnsi="宋体" w:eastAsia="宋体" w:cs="宋体"/>
                <w:sz w:val="18"/>
                <w:szCs w:val="18"/>
                <w:lang w:eastAsia="zh-CN"/>
              </w:rPr>
              <w:t>）</w:t>
            </w:r>
          </w:p>
        </w:tc>
        <w:tc>
          <w:tcPr>
            <w:tcW w:w="932"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一级</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指标</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56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12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CN"/>
              </w:rPr>
              <w:t>年度</w:t>
            </w:r>
            <w:r>
              <w:rPr>
                <w:rFonts w:hint="eastAsia" w:ascii="宋体" w:hAnsi="宋体" w:eastAsia="宋体" w:cs="宋体"/>
                <w:sz w:val="18"/>
                <w:szCs w:val="18"/>
              </w:rPr>
              <w:t>指</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标值</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实际值</w:t>
            </w:r>
          </w:p>
        </w:tc>
        <w:tc>
          <w:tcPr>
            <w:tcW w:w="491"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分值</w:t>
            </w:r>
          </w:p>
        </w:tc>
        <w:tc>
          <w:tcPr>
            <w:tcW w:w="624"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w w:val="90"/>
                <w:kern w:val="2"/>
                <w:sz w:val="18"/>
                <w:szCs w:val="18"/>
                <w:lang w:val="en-US" w:eastAsia="zh-CN" w:bidi="ar-SA"/>
              </w:rPr>
            </w:pPr>
            <w:r>
              <w:rPr>
                <w:rFonts w:hint="eastAsia" w:ascii="宋体" w:hAnsi="宋体" w:eastAsia="宋体" w:cs="宋体"/>
                <w:sz w:val="18"/>
                <w:szCs w:val="18"/>
                <w:lang w:val="en-US" w:eastAsia="zh-CN"/>
              </w:rPr>
              <w:t>得分</w:t>
            </w:r>
          </w:p>
        </w:tc>
        <w:tc>
          <w:tcPr>
            <w:tcW w:w="1044"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产出</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指标</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85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指标1:建设有机肥替代化肥示范</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≥1.17万亩</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1.17万亩</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sz w:val="18"/>
                <w:szCs w:val="18"/>
                <w:lang w:val="en-US" w:eastAsia="zh-CN"/>
              </w:rPr>
              <w:t>2.5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2.5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指标2:建设核心示范区</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≥1个</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2个</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sz w:val="18"/>
                <w:szCs w:val="18"/>
                <w:lang w:val="en-US" w:eastAsia="zh-CN"/>
              </w:rPr>
              <w:t>2.5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2.5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指标3：开展有机肥应用试验</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2个</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2个</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指标4：培训技术人员及农户</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≥150人次</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150人次</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质量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指标1：园区建设和试验示范</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高质量完成</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完成</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指标2：堆肥质量情况</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符合相关标准</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符合</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时效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指标1:项目完成期限</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2023.12</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2023.5</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成本</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指标1:项目实施费用</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控制在预算范围内</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116.2901</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9.94</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效益</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指标</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40分</w:t>
            </w:r>
            <w:r>
              <w:rPr>
                <w:rFonts w:hint="eastAsia" w:ascii="宋体" w:hAnsi="宋体" w:eastAsia="宋体" w:cs="宋体"/>
                <w:sz w:val="18"/>
                <w:szCs w:val="18"/>
                <w:lang w:eastAsia="zh-CN"/>
              </w:rPr>
              <w:t>）</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经济效</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益指标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指标1：核心示范区作物产出效益情况</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提质、增产</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增产25.7%</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sz w:val="18"/>
                <w:szCs w:val="18"/>
                <w:lang w:val="en-US" w:eastAsia="zh-CN"/>
              </w:rPr>
              <w:t>10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益指标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指标1：项目辐射带动情况</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指标2：农户增施有机肥、减少化肥使用量的认知度情况</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进一步提高</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5</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生态  效益</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指标1：核心示范区减少化肥施用量</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000000"/>
                <w:w w:val="90"/>
                <w:kern w:val="0"/>
                <w:sz w:val="18"/>
                <w:szCs w:val="18"/>
                <w:u w:val="none"/>
                <w:lang w:val="en-US" w:eastAsia="zh-CN" w:bidi="ar"/>
              </w:rPr>
            </w:pPr>
            <w:r>
              <w:rPr>
                <w:rFonts w:hint="eastAsia" w:ascii="宋体" w:hAnsi="宋体" w:eastAsia="宋体" w:cs="宋体"/>
                <w:i w:val="0"/>
                <w:color w:val="000000"/>
                <w:w w:val="90"/>
                <w:kern w:val="0"/>
                <w:sz w:val="18"/>
                <w:szCs w:val="18"/>
                <w:u w:val="none"/>
                <w:lang w:val="en-US" w:eastAsia="zh-CN" w:bidi="ar"/>
              </w:rPr>
              <w:t>10%</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10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color w:val="auto"/>
                <w:w w:val="90"/>
                <w:kern w:val="0"/>
                <w:sz w:val="18"/>
                <w:szCs w:val="18"/>
                <w:u w:val="none"/>
                <w:lang w:val="en-US" w:eastAsia="zh-CN" w:bidi="ar"/>
              </w:rPr>
            </w:pPr>
            <w:r>
              <w:rPr>
                <w:rFonts w:hint="eastAsia" w:ascii="宋体" w:hAnsi="宋体" w:eastAsia="宋体" w:cs="宋体"/>
                <w:i w:val="0"/>
                <w:color w:val="auto"/>
                <w:w w:val="90"/>
                <w:kern w:val="0"/>
                <w:sz w:val="18"/>
                <w:szCs w:val="18"/>
                <w:u w:val="none"/>
                <w:lang w:val="en-US" w:eastAsia="zh-CN" w:bidi="ar"/>
              </w:rPr>
              <w:t>10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可持续影响指标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 耕地质量和农产品品质</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明显提升(提高)</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提升</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color w:val="auto"/>
                <w:w w:val="90"/>
                <w:kern w:val="2"/>
                <w:sz w:val="18"/>
                <w:szCs w:val="18"/>
                <w:lang w:val="en-US" w:eastAsia="zh-CN" w:bidi="ar-SA"/>
              </w:rPr>
            </w:pPr>
            <w:r>
              <w:rPr>
                <w:rFonts w:hint="eastAsia" w:ascii="宋体" w:hAnsi="宋体" w:eastAsia="宋体" w:cs="宋体"/>
                <w:color w:val="auto"/>
                <w:w w:val="90"/>
                <w:kern w:val="2"/>
                <w:sz w:val="18"/>
                <w:szCs w:val="18"/>
                <w:lang w:val="en-US" w:eastAsia="zh-CN" w:bidi="ar-SA"/>
              </w:rPr>
              <w:t>10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color w:val="auto"/>
                <w:w w:val="9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6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rPr>
            </w:pPr>
          </w:p>
        </w:tc>
        <w:tc>
          <w:tcPr>
            <w:tcW w:w="932"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满意度指标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20分</w:t>
            </w:r>
            <w:r>
              <w:rPr>
                <w:rFonts w:hint="eastAsia" w:ascii="宋体" w:hAnsi="宋体" w:eastAsia="宋体" w:cs="宋体"/>
                <w:sz w:val="18"/>
                <w:szCs w:val="18"/>
                <w:lang w:eastAsia="zh-CN"/>
              </w:rPr>
              <w:t>）</w:t>
            </w:r>
          </w:p>
        </w:tc>
        <w:tc>
          <w:tcPr>
            <w:tcW w:w="85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指标1：农户和合作社满意度</w:t>
            </w: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96%</w:t>
            </w: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20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20</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2452"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w:t>
            </w:r>
          </w:p>
        </w:tc>
        <w:tc>
          <w:tcPr>
            <w:tcW w:w="256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p>
        </w:tc>
        <w:tc>
          <w:tcPr>
            <w:tcW w:w="112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sz w:val="18"/>
                <w:szCs w:val="18"/>
                <w:lang w:val="en-US" w:eastAsia="zh-CN"/>
              </w:rPr>
            </w:pPr>
          </w:p>
        </w:tc>
        <w:tc>
          <w:tcPr>
            <w:tcW w:w="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100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99.94</w:t>
            </w:r>
          </w:p>
        </w:tc>
        <w:tc>
          <w:tcPr>
            <w:tcW w:w="10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sz w:val="18"/>
                <w:szCs w:val="18"/>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76"/>
      </w:pPr>
      <w:r>
        <w:separator/>
      </w:r>
    </w:p>
  </w:endnote>
  <w:endnote w:type="continuationSeparator" w:id="1">
    <w:p>
      <w:pPr>
        <w:ind w:firstLine="5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76"/>
      </w:pPr>
      <w:r>
        <w:separator/>
      </w:r>
    </w:p>
  </w:footnote>
  <w:footnote w:type="continuationSeparator" w:id="1">
    <w:p>
      <w:pPr>
        <w:ind w:firstLine="57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00000000"/>
    <w:rsid w:val="3EC9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w w:val="90"/>
      <w:kern w:val="2"/>
      <w:sz w:val="3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200" w:leftChars="200" w:firstLine="420"/>
    </w:pPr>
    <w:rPr>
      <w:rFonts w:ascii="Times New Roman"/>
    </w:rPr>
  </w:style>
  <w:style w:type="paragraph" w:styleId="3">
    <w:name w:val="Body Text Indent"/>
    <w:basedOn w:val="1"/>
    <w:qFormat/>
    <w:uiPriority w:val="0"/>
    <w:pPr>
      <w:ind w:firstLine="640" w:firstLineChars="200"/>
    </w:pPr>
    <w:rPr>
      <w:rFonts w:cs="Times New Roman"/>
      <w:kern w:val="0"/>
      <w:sz w:val="20"/>
    </w:rPr>
  </w:style>
  <w:style w:type="paragraph" w:styleId="4">
    <w:name w:val="Balloon Text"/>
    <w:basedOn w:val="1"/>
    <w:unhideWhenUsed/>
    <w:qFormat/>
    <w:uiPriority w:val="99"/>
    <w:rPr>
      <w:sz w:val="18"/>
      <w:szCs w:val="18"/>
    </w:r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2023-12-30T02:02:15Z</dcterms:created>
  <dc:creator>Administrator</dc:creator>
  <cp:lastModifiedBy>.W.</cp:lastModifiedBy>
  <dcterms:modified xsi:type="dcterms:W3CDTF">2023-12-30T02:02:53Z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AB61D2E380314F4299DC111620B9BA11_12</vt:lpwstr>
  </property>
</Properties>
</file>