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center"/>
        <w:textAlignment w:val="auto"/>
        <w:outlineLvl w:val="9"/>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原州区财政局20</w:t>
      </w:r>
      <w:r>
        <w:rPr>
          <w:rFonts w:hint="eastAsia" w:ascii="方正小标宋简体" w:hAnsi="宋体" w:eastAsia="方正小标宋简体" w:cs="宋体"/>
          <w:kern w:val="0"/>
          <w:sz w:val="44"/>
          <w:szCs w:val="44"/>
          <w:lang w:val="en-US" w:eastAsia="zh-CN"/>
        </w:rPr>
        <w:t>20</w:t>
      </w:r>
      <w:r>
        <w:rPr>
          <w:rFonts w:hint="eastAsia" w:ascii="方正小标宋简体" w:hAnsi="宋体" w:eastAsia="方正小标宋简体" w:cs="宋体"/>
          <w:kern w:val="0"/>
          <w:sz w:val="44"/>
          <w:szCs w:val="44"/>
        </w:rPr>
        <w:t>年政府信息公开工作年度报告</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本报告根据《中华人民共和国政府信息公开条例》</w:t>
      </w:r>
      <w:r>
        <w:rPr>
          <w:rFonts w:hint="eastAsia" w:ascii="仿宋_GB2312" w:eastAsia="仿宋_GB2312"/>
          <w:sz w:val="32"/>
          <w:szCs w:val="32"/>
          <w:lang w:eastAsia="zh-CN"/>
        </w:rPr>
        <w:t>《国务院办公厅政府信息与政务公开办公室关于政府信息公开年度报告有关项目填报问题的解释》（国办公开【</w:t>
      </w:r>
      <w:r>
        <w:rPr>
          <w:rFonts w:hint="eastAsia" w:ascii="仿宋_GB2312" w:eastAsia="仿宋_GB2312"/>
          <w:sz w:val="32"/>
          <w:szCs w:val="32"/>
          <w:lang w:val="en-US" w:eastAsia="zh-CN"/>
        </w:rPr>
        <w:t>2016</w:t>
      </w:r>
      <w:r>
        <w:rPr>
          <w:rFonts w:hint="eastAsia" w:ascii="仿宋_GB2312" w:eastAsia="仿宋_GB2312"/>
          <w:sz w:val="32"/>
          <w:szCs w:val="32"/>
          <w:lang w:eastAsia="zh-CN"/>
        </w:rPr>
        <w:t>】</w:t>
      </w:r>
      <w:r>
        <w:rPr>
          <w:rFonts w:hint="eastAsia" w:ascii="仿宋_GB2312" w:eastAsia="仿宋_GB2312"/>
          <w:sz w:val="32"/>
          <w:szCs w:val="32"/>
          <w:lang w:val="en-US" w:eastAsia="zh-CN"/>
        </w:rPr>
        <w:t>201号</w:t>
      </w:r>
      <w:r>
        <w:rPr>
          <w:rFonts w:hint="eastAsia" w:ascii="仿宋_GB2312" w:eastAsia="仿宋_GB2312"/>
          <w:sz w:val="32"/>
          <w:szCs w:val="32"/>
          <w:lang w:eastAsia="zh-CN"/>
        </w:rPr>
        <w:t>）、《国务院办公厅政府信息与政务公开办公室关于政府信息公开年度报告有关事项的通知》（国办公开</w:t>
      </w:r>
      <w:r>
        <w:rPr>
          <w:rFonts w:hint="eastAsia" w:ascii="仿宋_GB2312" w:eastAsia="仿宋_GB2312"/>
          <w:sz w:val="32"/>
          <w:szCs w:val="32"/>
          <w:lang w:val="en-US" w:eastAsia="zh-CN"/>
        </w:rPr>
        <w:t>【2019】60号</w:t>
      </w:r>
      <w:r>
        <w:rPr>
          <w:rFonts w:hint="eastAsia" w:ascii="仿宋_GB2312" w:eastAsia="仿宋_GB2312"/>
          <w:sz w:val="32"/>
          <w:szCs w:val="32"/>
          <w:lang w:eastAsia="zh-CN"/>
        </w:rPr>
        <w:t>）</w:t>
      </w:r>
      <w:r>
        <w:rPr>
          <w:rFonts w:hint="eastAsia" w:ascii="仿宋_GB2312" w:eastAsia="仿宋_GB2312"/>
          <w:sz w:val="32"/>
          <w:szCs w:val="32"/>
        </w:rPr>
        <w:t>规定，汇总原州区财政局政府信息公开工作情况编制而成。本报告中数据的统计期限自20</w:t>
      </w:r>
      <w:r>
        <w:rPr>
          <w:rFonts w:hint="eastAsia" w:ascii="仿宋_GB2312" w:eastAsia="仿宋_GB2312"/>
          <w:sz w:val="32"/>
          <w:szCs w:val="32"/>
          <w:lang w:val="en-US" w:eastAsia="zh-CN"/>
        </w:rPr>
        <w:t>20</w:t>
      </w:r>
      <w:r>
        <w:rPr>
          <w:rFonts w:hint="eastAsia" w:ascii="仿宋_GB2312" w:eastAsia="仿宋_GB2312"/>
          <w:sz w:val="32"/>
          <w:szCs w:val="32"/>
        </w:rPr>
        <w:t>年1月1日起至20</w:t>
      </w:r>
      <w:r>
        <w:rPr>
          <w:rFonts w:hint="eastAsia" w:ascii="仿宋_GB2312" w:eastAsia="仿宋_GB2312"/>
          <w:sz w:val="32"/>
          <w:szCs w:val="32"/>
          <w:lang w:val="en-US" w:eastAsia="zh-CN"/>
        </w:rPr>
        <w:t>20</w:t>
      </w:r>
      <w:r>
        <w:rPr>
          <w:rFonts w:hint="eastAsia" w:ascii="仿宋_GB2312" w:eastAsia="仿宋_GB2312"/>
          <w:sz w:val="32"/>
          <w:szCs w:val="32"/>
        </w:rPr>
        <w:t>年12月31日止。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黑体"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rPr>
        <w:t>原州区财政局政府信息公开工作认真贯彻落实《中华人民共和国政府信息公开条例》</w:t>
      </w:r>
      <w:r>
        <w:rPr>
          <w:rFonts w:hint="eastAsia" w:ascii="仿宋_GB2312" w:hAnsi="仿宋_GB2312" w:eastAsia="仿宋_GB2312" w:cs="仿宋_GB2312"/>
          <w:sz w:val="32"/>
          <w:lang w:val="en-US" w:eastAsia="zh-CN"/>
        </w:rPr>
        <w:t>要求</w:t>
      </w:r>
      <w:r>
        <w:rPr>
          <w:rFonts w:hint="eastAsia" w:ascii="仿宋_GB2312" w:eastAsia="仿宋_GB2312"/>
          <w:sz w:val="32"/>
          <w:szCs w:val="32"/>
        </w:rPr>
        <w:t>，紧紧围绕财政中心工作，切实履行政务公开职责，不断夯实公开载体，拓展公开内容，完善公开机制。政府信息公开工作朝着规范化、制度化、日常化发展轨道不断迈进。</w:t>
      </w: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1、主动公开方面。全年通过原州区政府门户网站、财政局公示宣传栏等渠道主动公开政策法规、政策解读、热点回应、议案建议提案办理以及重点领域等方面信息共508条。其中：在政府门户网站上公布</w:t>
      </w:r>
      <w:r>
        <w:rPr>
          <w:rFonts w:hint="default" w:ascii="仿宋_GB2312" w:hAnsi="仿宋_GB2312" w:eastAsia="仿宋_GB2312" w:cs="仿宋_GB2312"/>
          <w:b w:val="0"/>
          <w:color w:val="auto"/>
          <w:kern w:val="2"/>
          <w:sz w:val="32"/>
          <w:szCs w:val="32"/>
          <w:lang w:eastAsia="zh-CN" w:bidi="ar-SA"/>
        </w:rPr>
        <w:t>2020</w:t>
      </w:r>
      <w:r>
        <w:rPr>
          <w:rFonts w:hint="eastAsia" w:ascii="仿宋_GB2312" w:hAnsi="仿宋_GB2312" w:eastAsia="仿宋_GB2312" w:cs="仿宋_GB2312"/>
          <w:b w:val="0"/>
          <w:color w:val="auto"/>
          <w:kern w:val="2"/>
          <w:sz w:val="32"/>
          <w:szCs w:val="32"/>
          <w:lang w:val="en-US" w:eastAsia="zh-CN" w:bidi="ar-SA"/>
        </w:rPr>
        <w:t>年部门收支预决算、财政预算执行情况分析、</w:t>
      </w:r>
      <w:r>
        <w:rPr>
          <w:rFonts w:hint="eastAsia" w:ascii="仿宋_GB2312" w:hAnsi="仿宋_GB2312" w:eastAsia="仿宋_GB2312" w:cs="仿宋_GB2312"/>
          <w:b w:val="0"/>
          <w:bCs/>
          <w:i w:val="0"/>
          <w:caps w:val="0"/>
          <w:color w:val="auto"/>
          <w:spacing w:val="0"/>
          <w:sz w:val="32"/>
          <w:szCs w:val="32"/>
          <w:shd w:val="clear" w:fill="FFFFFF"/>
        </w:rPr>
        <w:t>关于拨付自治区2020年地方政府新增一般债券资金（第一批）的通知</w:t>
      </w:r>
      <w:r>
        <w:rPr>
          <w:rFonts w:hint="eastAsia" w:ascii="仿宋_GB2312" w:hAnsi="仿宋_GB2312" w:eastAsia="仿宋_GB2312" w:cs="仿宋_GB2312"/>
          <w:b w:val="0"/>
          <w:color w:val="auto"/>
          <w:kern w:val="2"/>
          <w:sz w:val="32"/>
          <w:szCs w:val="32"/>
          <w:lang w:val="en-US" w:eastAsia="zh-CN" w:bidi="ar-SA"/>
        </w:rPr>
        <w:t>和</w:t>
      </w:r>
      <w:r>
        <w:rPr>
          <w:rFonts w:hint="eastAsia" w:ascii="仿宋_GB2312" w:hAnsi="仿宋_GB2312" w:eastAsia="仿宋_GB2312" w:cs="仿宋_GB2312"/>
          <w:b w:val="0"/>
          <w:bCs/>
          <w:i w:val="0"/>
          <w:caps w:val="0"/>
          <w:color w:val="auto"/>
          <w:spacing w:val="0"/>
          <w:sz w:val="32"/>
          <w:szCs w:val="32"/>
          <w:shd w:val="clear" w:fill="FFFFFF"/>
        </w:rPr>
        <w:t>原州区2020年度会计法规执行情况 行政执法检查公告</w:t>
      </w:r>
      <w:r>
        <w:rPr>
          <w:rFonts w:hint="eastAsia" w:ascii="仿宋_GB2312" w:hAnsi="仿宋_GB2312" w:eastAsia="仿宋_GB2312" w:cs="仿宋_GB2312"/>
          <w:b w:val="0"/>
          <w:color w:val="auto"/>
          <w:kern w:val="2"/>
          <w:sz w:val="32"/>
          <w:szCs w:val="32"/>
          <w:lang w:val="en-US" w:eastAsia="zh-CN" w:bidi="ar-SA"/>
        </w:rPr>
        <w:t>等24条；在政府指定的采购网上公开政府采购信息429条；通过制发文件公开规划总结类30条；通过公开栏等其他方式公开信息25条。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2、依申请公开方面。20</w:t>
      </w:r>
      <w:r>
        <w:rPr>
          <w:rFonts w:hint="default"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年财政局未收到政府信息</w:t>
      </w:r>
      <w:r>
        <w:rPr>
          <w:rFonts w:hint="eastAsia" w:ascii="仿宋_GB2312" w:hAnsi="仿宋_GB2312" w:eastAsia="仿宋_GB2312" w:cs="仿宋_GB2312"/>
          <w:sz w:val="32"/>
          <w:szCs w:val="32"/>
          <w:lang w:val="en-US" w:eastAsia="zh-CN"/>
        </w:rPr>
        <w:t>公开申请。</w:t>
      </w:r>
    </w:p>
    <w:p>
      <w:pPr>
        <w:numPr>
          <w:ilvl w:val="0"/>
          <w:numId w:val="0"/>
        </w:numPr>
        <w:ind w:firstLine="640" w:firstLineChars="200"/>
        <w:rPr>
          <w:rFonts w:hint="eastAsia" w:ascii="宋体" w:hAnsi="宋体" w:eastAsia="宋体" w:cs="宋体"/>
          <w:color w:val="666666"/>
          <w:sz w:val="24"/>
          <w:szCs w:val="24"/>
        </w:rPr>
      </w:pPr>
      <w:r>
        <w:rPr>
          <w:rFonts w:hint="default" w:ascii="仿宋_GB2312" w:hAnsi="仿宋_GB2312" w:eastAsia="仿宋_GB2312" w:cs="仿宋_GB2312"/>
          <w:sz w:val="32"/>
          <w:szCs w:val="32"/>
          <w:lang w:eastAsia="zh-CN"/>
        </w:rPr>
        <w:t>3、信息管理方面。</w:t>
      </w:r>
      <w:r>
        <w:rPr>
          <w:rFonts w:hint="eastAsia" w:ascii="仿宋_GB2312" w:hAnsi="仿宋_GB2312" w:eastAsia="仿宋_GB2312" w:cs="仿宋_GB2312"/>
          <w:sz w:val="32"/>
          <w:szCs w:val="32"/>
          <w:lang w:eastAsia="zh-CN"/>
        </w:rPr>
        <w:t>严格按照《原州区财政局政府信息公开目录》严格审核公开的内容、依据、时限、渠道、对象及公开类型等内容，及时通过政府门户网站向全社会公开，主动接受广大人民群众的监督</w:t>
      </w:r>
      <w:r>
        <w:rPr>
          <w:rFonts w:hint="eastAsia" w:ascii="宋体" w:hAnsi="宋体" w:eastAsia="宋体" w:cs="宋体"/>
          <w:color w:val="666666"/>
          <w:sz w:val="24"/>
          <w:szCs w:val="24"/>
        </w:rPr>
        <w:t>。</w:t>
      </w:r>
    </w:p>
    <w:p>
      <w:pPr>
        <w:numPr>
          <w:ilvl w:val="0"/>
          <w:numId w:val="0"/>
        </w:numPr>
        <w:ind w:firstLine="640" w:firstLineChars="200"/>
        <w:rPr>
          <w:rFonts w:hint="eastAsia" w:ascii="仿宋_GB2312" w:hAnsi="仿宋_GB2312" w:eastAsia="仿宋_GB2312" w:cs="仿宋_GB2312"/>
          <w:i w:val="0"/>
          <w:caps w:val="0"/>
          <w:color w:val="auto"/>
          <w:spacing w:val="0"/>
          <w:sz w:val="32"/>
          <w:szCs w:val="32"/>
          <w:shd w:val="clear" w:color="auto" w:fill="FFFFFF"/>
          <w:lang w:eastAsia="zh-CN"/>
        </w:rPr>
      </w:pP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、平台建设方面。我局无网络平台，主要</w:t>
      </w:r>
      <w:r>
        <w:rPr>
          <w:rFonts w:hint="eastAsia" w:ascii="仿宋_GB2312" w:hAnsi="仿宋_GB2312" w:eastAsia="仿宋_GB2312" w:cs="仿宋_GB2312"/>
          <w:i w:val="0"/>
          <w:caps w:val="0"/>
          <w:color w:val="auto"/>
          <w:spacing w:val="0"/>
          <w:sz w:val="32"/>
          <w:szCs w:val="32"/>
          <w:shd w:val="clear" w:color="auto" w:fill="FFFFFF"/>
        </w:rPr>
        <w:t>依托政府门户网站、固原政府采购网、单位公开栏和财政简报信息，及时公布和更新最新的工作动态、财政数据、法规制度、政策措施及有关重要财政报告等信息，推进政府政务公开常态化</w:t>
      </w:r>
      <w:r>
        <w:rPr>
          <w:rFonts w:hint="eastAsia" w:ascii="仿宋_GB2312" w:hAnsi="仿宋_GB2312" w:eastAsia="仿宋_GB2312" w:cs="仿宋_GB2312"/>
          <w:i w:val="0"/>
          <w:caps w:val="0"/>
          <w:color w:val="auto"/>
          <w:spacing w:val="0"/>
          <w:sz w:val="32"/>
          <w:szCs w:val="32"/>
          <w:shd w:val="clear" w:color="auto" w:fill="FFFFFF"/>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、监督保障情况。严格落实信息公开审核制度、网络舆情处理及信息安全制度、新媒体管理制度等，确保应公开尽公开。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二、主动公开政府信息情况</w:t>
      </w:r>
    </w:p>
    <w:tbl>
      <w:tblPr>
        <w:tblStyle w:val="7"/>
        <w:tblW w:w="0" w:type="auto"/>
        <w:jc w:val="center"/>
        <w:tblLayout w:type="fixed"/>
        <w:tblCellMar>
          <w:top w:w="0" w:type="dxa"/>
          <w:left w:w="0" w:type="dxa"/>
          <w:bottom w:w="0" w:type="dxa"/>
          <w:right w:w="0" w:type="dxa"/>
        </w:tblCellMar>
      </w:tblPr>
      <w:tblGrid>
        <w:gridCol w:w="3508"/>
        <w:gridCol w:w="1875"/>
        <w:gridCol w:w="6"/>
        <w:gridCol w:w="1265"/>
        <w:gridCol w:w="1881"/>
      </w:tblGrid>
      <w:tr>
        <w:tblPrEx>
          <w:tblCellMar>
            <w:top w:w="0" w:type="dxa"/>
            <w:left w:w="0" w:type="dxa"/>
            <w:bottom w:w="0" w:type="dxa"/>
            <w:right w:w="0" w:type="dxa"/>
          </w:tblCellMar>
        </w:tblPrEx>
        <w:trPr>
          <w:trHeight w:val="495" w:hRule="atLeast"/>
          <w:jc w:val="center"/>
        </w:trPr>
        <w:tc>
          <w:tcPr>
            <w:tcW w:w="8535"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第二十条第（一）项</w:t>
            </w:r>
          </w:p>
        </w:tc>
      </w:tr>
      <w:tr>
        <w:tblPrEx>
          <w:tblCellMar>
            <w:top w:w="0" w:type="dxa"/>
            <w:left w:w="0" w:type="dxa"/>
            <w:bottom w:w="0" w:type="dxa"/>
            <w:right w:w="0" w:type="dxa"/>
          </w:tblCellMar>
        </w:tblPrEx>
        <w:trPr>
          <w:trHeight w:val="882"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本年新</w:t>
            </w:r>
            <w:r>
              <w:rPr>
                <w:rFonts w:hint="eastAsia"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本年新</w:t>
            </w:r>
            <w:r>
              <w:rPr>
                <w:rFonts w:hint="eastAsia"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对外公开</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总数量</w:t>
            </w:r>
          </w:p>
        </w:tc>
      </w:tr>
      <w:tr>
        <w:tblPrEx>
          <w:tblCellMar>
            <w:top w:w="0" w:type="dxa"/>
            <w:left w:w="0" w:type="dxa"/>
            <w:bottom w:w="0" w:type="dxa"/>
            <w:right w:w="0" w:type="dxa"/>
          </w:tblCellMar>
        </w:tblPrEx>
        <w:trPr>
          <w:trHeight w:val="523"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CellMar>
            <w:top w:w="0" w:type="dxa"/>
            <w:left w:w="0" w:type="dxa"/>
            <w:bottom w:w="0" w:type="dxa"/>
            <w:right w:w="0" w:type="dxa"/>
          </w:tblCellMar>
        </w:tblPrEx>
        <w:trPr>
          <w:trHeight w:val="471"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r>
        <w:tblPrEx>
          <w:tblCellMar>
            <w:top w:w="0" w:type="dxa"/>
            <w:left w:w="0" w:type="dxa"/>
            <w:bottom w:w="0" w:type="dxa"/>
            <w:right w:w="0" w:type="dxa"/>
          </w:tblCellMar>
        </w:tblPrEx>
        <w:trPr>
          <w:trHeight w:val="480" w:hRule="atLeast"/>
          <w:jc w:val="center"/>
        </w:trPr>
        <w:tc>
          <w:tcPr>
            <w:tcW w:w="8535"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第二十条第（五）项</w:t>
            </w:r>
          </w:p>
        </w:tc>
      </w:tr>
      <w:tr>
        <w:tblPrEx>
          <w:tblCellMar>
            <w:top w:w="0" w:type="dxa"/>
            <w:left w:w="0" w:type="dxa"/>
            <w:bottom w:w="0" w:type="dxa"/>
            <w:right w:w="0" w:type="dxa"/>
          </w:tblCellMar>
        </w:tblPrEx>
        <w:trPr>
          <w:trHeight w:val="634"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上一年</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处理决定数量</w:t>
            </w:r>
          </w:p>
        </w:tc>
      </w:tr>
      <w:tr>
        <w:tblPrEx>
          <w:tblCellMar>
            <w:top w:w="0" w:type="dxa"/>
            <w:left w:w="0" w:type="dxa"/>
            <w:bottom w:w="0" w:type="dxa"/>
            <w:right w:w="0" w:type="dxa"/>
          </w:tblCellMar>
        </w:tblPrEx>
        <w:trPr>
          <w:trHeight w:val="390"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1</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1</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r>
      <w:tr>
        <w:tblPrEx>
          <w:tblCellMar>
            <w:top w:w="0" w:type="dxa"/>
            <w:left w:w="0" w:type="dxa"/>
            <w:bottom w:w="0" w:type="dxa"/>
            <w:right w:w="0" w:type="dxa"/>
          </w:tblCellMar>
        </w:tblPrEx>
        <w:trPr>
          <w:trHeight w:val="550"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CellMar>
            <w:top w:w="0" w:type="dxa"/>
            <w:left w:w="0" w:type="dxa"/>
            <w:bottom w:w="0" w:type="dxa"/>
            <w:right w:w="0" w:type="dxa"/>
          </w:tblCellMar>
        </w:tblPrEx>
        <w:trPr>
          <w:trHeight w:val="406" w:hRule="atLeast"/>
          <w:jc w:val="center"/>
        </w:trPr>
        <w:tc>
          <w:tcPr>
            <w:tcW w:w="8535"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第二十条第（六）项</w:t>
            </w:r>
          </w:p>
        </w:tc>
      </w:tr>
      <w:tr>
        <w:tblPrEx>
          <w:tblCellMar>
            <w:top w:w="0" w:type="dxa"/>
            <w:left w:w="0" w:type="dxa"/>
            <w:bottom w:w="0" w:type="dxa"/>
            <w:right w:w="0" w:type="dxa"/>
          </w:tblCellMar>
        </w:tblPrEx>
        <w:trPr>
          <w:trHeight w:val="634"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上一年</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处理决定数量</w:t>
            </w:r>
          </w:p>
        </w:tc>
      </w:tr>
      <w:tr>
        <w:tblPrEx>
          <w:tblCellMar>
            <w:top w:w="0" w:type="dxa"/>
            <w:left w:w="0" w:type="dxa"/>
            <w:bottom w:w="0" w:type="dxa"/>
            <w:right w:w="0" w:type="dxa"/>
          </w:tblCellMar>
        </w:tblPrEx>
        <w:trPr>
          <w:trHeight w:val="430"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　0</w:t>
            </w:r>
          </w:p>
        </w:tc>
      </w:tr>
      <w:tr>
        <w:tblPrEx>
          <w:tblCellMar>
            <w:top w:w="0" w:type="dxa"/>
            <w:left w:w="0" w:type="dxa"/>
            <w:bottom w:w="0" w:type="dxa"/>
            <w:right w:w="0" w:type="dxa"/>
          </w:tblCellMar>
        </w:tblPrEx>
        <w:trPr>
          <w:trHeight w:val="409"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CellMar>
            <w:top w:w="0" w:type="dxa"/>
            <w:left w:w="0" w:type="dxa"/>
            <w:bottom w:w="0" w:type="dxa"/>
            <w:right w:w="0" w:type="dxa"/>
          </w:tblCellMar>
        </w:tblPrEx>
        <w:trPr>
          <w:trHeight w:val="474" w:hRule="atLeast"/>
          <w:jc w:val="center"/>
        </w:trPr>
        <w:tc>
          <w:tcPr>
            <w:tcW w:w="8535"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第二十条第（八）项</w:t>
            </w:r>
          </w:p>
        </w:tc>
      </w:tr>
      <w:tr>
        <w:tblPrEx>
          <w:tblCellMar>
            <w:top w:w="0" w:type="dxa"/>
            <w:left w:w="0" w:type="dxa"/>
            <w:bottom w:w="0" w:type="dxa"/>
            <w:right w:w="0" w:type="dxa"/>
          </w:tblCellMar>
        </w:tblPrEx>
        <w:trPr>
          <w:trHeight w:val="270"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上一年</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本年增/减</w:t>
            </w:r>
          </w:p>
        </w:tc>
      </w:tr>
      <w:tr>
        <w:tblPrEx>
          <w:tblCellMar>
            <w:top w:w="0" w:type="dxa"/>
            <w:left w:w="0" w:type="dxa"/>
            <w:bottom w:w="0" w:type="dxa"/>
            <w:right w:w="0" w:type="dxa"/>
          </w:tblCellMar>
        </w:tblPrEx>
        <w:trPr>
          <w:trHeight w:val="551"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0 </w:t>
            </w:r>
          </w:p>
        </w:tc>
      </w:tr>
      <w:tr>
        <w:tblPrEx>
          <w:tblCellMar>
            <w:top w:w="0" w:type="dxa"/>
            <w:left w:w="0" w:type="dxa"/>
            <w:bottom w:w="0" w:type="dxa"/>
            <w:right w:w="0" w:type="dxa"/>
          </w:tblCellMar>
        </w:tblPrEx>
        <w:trPr>
          <w:trHeight w:val="476" w:hRule="atLeast"/>
          <w:jc w:val="center"/>
        </w:trPr>
        <w:tc>
          <w:tcPr>
            <w:tcW w:w="8535"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第二十条第（九）项</w:t>
            </w:r>
          </w:p>
        </w:tc>
      </w:tr>
      <w:tr>
        <w:tblPrEx>
          <w:tblCellMar>
            <w:top w:w="0" w:type="dxa"/>
            <w:left w:w="0" w:type="dxa"/>
            <w:bottom w:w="0" w:type="dxa"/>
            <w:right w:w="0" w:type="dxa"/>
          </w:tblCellMar>
        </w:tblPrEx>
        <w:trPr>
          <w:trHeight w:val="585"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采购总金额</w:t>
            </w:r>
          </w:p>
        </w:tc>
      </w:tr>
      <w:tr>
        <w:tblPrEx>
          <w:tblCellMar>
            <w:top w:w="0" w:type="dxa"/>
            <w:left w:w="0" w:type="dxa"/>
            <w:bottom w:w="0" w:type="dxa"/>
            <w:right w:w="0" w:type="dxa"/>
          </w:tblCellMar>
        </w:tblPrEx>
        <w:trPr>
          <w:trHeight w:val="539" w:hRule="atLeast"/>
          <w:jc w:val="center"/>
        </w:trPr>
        <w:tc>
          <w:tcPr>
            <w:tcW w:w="3508"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三、收到和处理政府信息公开申请情况</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6"/>
        <w:gridCol w:w="1236"/>
        <w:gridCol w:w="1876"/>
        <w:gridCol w:w="468"/>
        <w:gridCol w:w="698"/>
        <w:gridCol w:w="732"/>
        <w:gridCol w:w="765"/>
        <w:gridCol w:w="855"/>
        <w:gridCol w:w="70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48" w:type="dxa"/>
            <w:gridSpan w:val="3"/>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（本列数据的逻辑关系为：第一项加第二项之和，等于第三项加第四项之和）</w:t>
            </w:r>
          </w:p>
        </w:tc>
        <w:tc>
          <w:tcPr>
            <w:tcW w:w="4923" w:type="dxa"/>
            <w:gridSpan w:val="7"/>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48" w:type="dxa"/>
            <w:gridSpan w:val="3"/>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468"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自然人</w:t>
            </w:r>
          </w:p>
        </w:tc>
        <w:tc>
          <w:tcPr>
            <w:tcW w:w="3757" w:type="dxa"/>
            <w:gridSpan w:val="5"/>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法人或其他组织</w:t>
            </w:r>
          </w:p>
        </w:tc>
        <w:tc>
          <w:tcPr>
            <w:tcW w:w="698"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48" w:type="dxa"/>
            <w:gridSpan w:val="3"/>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468"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商业企业</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科研机构</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社会公益组织</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法律服务机构</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其他</w:t>
            </w:r>
          </w:p>
        </w:tc>
        <w:tc>
          <w:tcPr>
            <w:tcW w:w="698"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48" w:type="dxa"/>
            <w:gridSpan w:val="3"/>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一、本年新收政府信息公开申请数量</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0 </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0 </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48" w:type="dxa"/>
            <w:gridSpan w:val="3"/>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二、上年结转政府信息公开申请数量</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三、本年度办理结果</w:t>
            </w:r>
          </w:p>
        </w:tc>
        <w:tc>
          <w:tcPr>
            <w:tcW w:w="3112" w:type="dxa"/>
            <w:gridSpan w:val="2"/>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（一）予以公开</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3112" w:type="dxa"/>
            <w:gridSpan w:val="2"/>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（二）部分公开（区分处理的，只计这一情形，不计其他情形）</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（三）不予公开</w:t>
            </w: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1.属于国家秘密</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2.其他法律行政法规禁止公开</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3.危及“三安全一稳定”</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4.保护第三方合法权益</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5.属于三类内部事务信息</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6.属于四类过程性信息</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7.属于行政执法案卷</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8.属于行政查询事项</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（四）无法提供</w:t>
            </w: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1.本机关不掌握相关政府信息</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2.没有现成信息需要另行制作</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3.补正后申请内容仍不明确</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0 </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（五）不予处理</w:t>
            </w: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1.信访举报投诉类申请</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2.重复申请</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3.要求提供公开出版物</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4.无正当理由大量反复申请</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2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187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5.要求行政机关确认或重新出具已获取信息</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3112" w:type="dxa"/>
            <w:gridSpan w:val="2"/>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（六）其他处理</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3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3112" w:type="dxa"/>
            <w:gridSpan w:val="2"/>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（七）总计</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48" w:type="dxa"/>
            <w:gridSpan w:val="3"/>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四、结转下年度继续办理</w:t>
            </w:r>
          </w:p>
        </w:tc>
        <w:tc>
          <w:tcPr>
            <w:tcW w:w="46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3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6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855"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707"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9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jc w:val="both"/>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四、政府信息公开行政复议、行政诉讼情况</w:t>
      </w:r>
    </w:p>
    <w:tbl>
      <w:tblPr>
        <w:tblStyle w:val="7"/>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05"/>
        <w:gridCol w:w="605"/>
        <w:gridCol w:w="605"/>
        <w:gridCol w:w="605"/>
        <w:gridCol w:w="605"/>
        <w:gridCol w:w="605"/>
        <w:gridCol w:w="605"/>
        <w:gridCol w:w="605"/>
        <w:gridCol w:w="605"/>
        <w:gridCol w:w="605"/>
        <w:gridCol w:w="3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2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行政复议</w:t>
            </w:r>
          </w:p>
        </w:tc>
        <w:tc>
          <w:tcPr>
            <w:tcW w:w="5824"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尚未审结</w:t>
            </w:r>
          </w:p>
        </w:tc>
        <w:tc>
          <w:tcPr>
            <w:tcW w:w="60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总计</w:t>
            </w:r>
          </w:p>
        </w:tc>
        <w:tc>
          <w:tcPr>
            <w:tcW w:w="302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未经复议直接起诉</w:t>
            </w:r>
          </w:p>
        </w:tc>
        <w:tc>
          <w:tcPr>
            <w:tcW w:w="2799"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60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尚未审结</w:t>
            </w:r>
          </w:p>
        </w:tc>
        <w:tc>
          <w:tcPr>
            <w:tcW w:w="37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0</w:t>
            </w:r>
          </w:p>
        </w:tc>
        <w:tc>
          <w:tcPr>
            <w:tcW w:w="37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pPr>
        <w:keepNext w:val="0"/>
        <w:keepLines w:val="0"/>
        <w:widowControl/>
        <w:suppressLineNumbers w:val="0"/>
        <w:jc w:val="left"/>
      </w:pPr>
      <w:r>
        <w:rPr>
          <w:rFonts w:ascii="楷体" w:hAnsi="楷体" w:eastAsia="楷体" w:cs="楷体"/>
          <w:color w:val="000000"/>
          <w:kern w:val="0"/>
          <w:sz w:val="30"/>
          <w:szCs w:val="30"/>
          <w:lang w:val="en-US" w:eastAsia="zh-CN" w:bidi="ar"/>
        </w:rPr>
        <w:t>（</w:t>
      </w:r>
      <w:r>
        <w:rPr>
          <w:rFonts w:hint="eastAsia" w:ascii="楷体" w:hAnsi="楷体" w:eastAsia="楷体" w:cs="楷体"/>
          <w:color w:val="000000"/>
          <w:kern w:val="0"/>
          <w:sz w:val="30"/>
          <w:szCs w:val="30"/>
          <w:lang w:val="en-US" w:eastAsia="zh-CN" w:bidi="ar"/>
        </w:rPr>
        <w:t>一）工作中存在的主要问题和困难</w:t>
      </w:r>
    </w:p>
    <w:p>
      <w:pPr>
        <w:keepNext w:val="0"/>
        <w:keepLines w:val="0"/>
        <w:widowControl/>
        <w:suppressLineNumbers w:val="0"/>
        <w:ind w:firstLine="900" w:firstLineChars="300"/>
        <w:jc w:val="left"/>
      </w:pPr>
      <w:r>
        <w:rPr>
          <w:rFonts w:ascii="仿宋" w:hAnsi="仿宋" w:eastAsia="仿宋" w:cs="仿宋"/>
          <w:color w:val="000000"/>
          <w:kern w:val="0"/>
          <w:sz w:val="30"/>
          <w:szCs w:val="30"/>
          <w:lang w:val="en-US" w:eastAsia="zh-CN" w:bidi="ar"/>
        </w:rPr>
        <w:t>一</w:t>
      </w:r>
      <w:r>
        <w:rPr>
          <w:rFonts w:hint="eastAsia" w:ascii="仿宋" w:hAnsi="仿宋" w:eastAsia="仿宋" w:cs="仿宋"/>
          <w:color w:val="000000"/>
          <w:kern w:val="0"/>
          <w:sz w:val="30"/>
          <w:szCs w:val="30"/>
          <w:lang w:val="en-US" w:eastAsia="zh-CN" w:bidi="ar"/>
        </w:rPr>
        <w:t xml:space="preserve">是政府信息公开新渠道、新模式的运用不够广泛，仍然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以原州区人民政府门户网站为宣传主阵地，未能完全满足互联网时代社会公众对于政府工作知情、参与和监督需求。二是</w:t>
      </w:r>
      <w:r>
        <w:rPr>
          <w:rFonts w:ascii="仿宋" w:hAnsi="仿宋" w:eastAsia="仿宋" w:cs="仿宋"/>
          <w:color w:val="000000"/>
          <w:kern w:val="0"/>
          <w:sz w:val="31"/>
          <w:szCs w:val="31"/>
          <w:lang w:val="en-US" w:eastAsia="zh-CN" w:bidi="ar"/>
        </w:rPr>
        <w:t>公开程序不够规范，对政务公开</w:t>
      </w:r>
      <w:r>
        <w:rPr>
          <w:rFonts w:hint="eastAsia" w:ascii="仿宋" w:hAnsi="仿宋" w:eastAsia="仿宋" w:cs="仿宋"/>
          <w:color w:val="000000"/>
          <w:kern w:val="0"/>
          <w:sz w:val="31"/>
          <w:szCs w:val="31"/>
          <w:lang w:val="en-US" w:eastAsia="zh-CN" w:bidi="ar"/>
        </w:rPr>
        <w:t>掌握的还不够熟练，公开过程中重点不够突出，实效性不强，成效不明显。</w:t>
      </w:r>
    </w:p>
    <w:p>
      <w:pPr>
        <w:keepNext w:val="0"/>
        <w:keepLines w:val="0"/>
        <w:widowControl/>
        <w:suppressLineNumbers w:val="0"/>
        <w:jc w:val="left"/>
      </w:pPr>
      <w:r>
        <w:rPr>
          <w:rFonts w:ascii="楷体" w:hAnsi="楷体" w:eastAsia="楷体" w:cs="楷体"/>
          <w:color w:val="000000"/>
          <w:kern w:val="0"/>
          <w:sz w:val="30"/>
          <w:szCs w:val="30"/>
          <w:lang w:val="en-US" w:eastAsia="zh-CN" w:bidi="ar"/>
        </w:rPr>
        <w:t xml:space="preserve">（二）具体解决办法和改进措施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一是进一步丰富公开模式。在做好政府网站信息公开工作的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同时，借助新媒体、政策现场宣传活动、报刊专题报道等形式，拓宽信息公开渠道，探索灵活、高效、生动、多元的信息宣传方式，做好政府开放日活动 。二是加强服务意识，提升公开水平。</w:t>
      </w:r>
      <w:r>
        <w:rPr>
          <w:rFonts w:ascii="仿宋" w:hAnsi="仿宋" w:eastAsia="仿宋" w:cs="仿宋"/>
          <w:color w:val="000000"/>
          <w:kern w:val="0"/>
          <w:sz w:val="31"/>
          <w:szCs w:val="31"/>
          <w:lang w:val="en-US" w:eastAsia="zh-CN" w:bidi="ar"/>
        </w:rPr>
        <w:t>加强学习教育，牢固树立</w:t>
      </w:r>
      <w:r>
        <w:rPr>
          <w:rFonts w:hint="eastAsia" w:ascii="仿宋" w:hAnsi="仿宋" w:eastAsia="仿宋" w:cs="仿宋"/>
          <w:color w:val="000000"/>
          <w:kern w:val="0"/>
          <w:sz w:val="31"/>
          <w:szCs w:val="31"/>
          <w:lang w:val="en-US" w:eastAsia="zh-CN" w:bidi="ar"/>
        </w:rPr>
        <w:t>“公开为常态、不公开为例外”的原则</w:t>
      </w:r>
      <w:r>
        <w:rPr>
          <w:rFonts w:hint="eastAsia" w:ascii="仿宋" w:hAnsi="仿宋" w:eastAsia="仿宋" w:cs="仿宋"/>
          <w:color w:val="000000"/>
          <w:kern w:val="0"/>
          <w:sz w:val="30"/>
          <w:szCs w:val="30"/>
          <w:lang w:val="en-US" w:eastAsia="zh-CN" w:bidi="ar"/>
        </w:rPr>
        <w:t>提升对新形势下政府信息公开工作重点、难点的认识，更好地完成本部门的信息公开工作。</w:t>
      </w:r>
    </w:p>
    <w:p>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jc w:val="both"/>
        <w:textAlignment w:val="auto"/>
        <w:rPr>
          <w:rFonts w:hint="eastAsia" w:ascii="仿宋_GB2312" w:hAnsi="仿宋_GB2312" w:eastAsia="黑体" w:cs="仿宋_GB2312"/>
          <w:sz w:val="32"/>
          <w:szCs w:val="32"/>
          <w:lang w:val="en-US" w:eastAsia="zh-CN"/>
        </w:rPr>
      </w:pPr>
      <w:r>
        <w:rPr>
          <w:rFonts w:hint="eastAsia" w:ascii="黑体" w:hAnsi="黑体" w:eastAsia="黑体" w:cs="黑体"/>
          <w:sz w:val="32"/>
          <w:szCs w:val="32"/>
          <w:lang w:eastAsia="zh-CN"/>
        </w:rPr>
        <w:t>六、其他需要报告的事项</w:t>
      </w:r>
      <w:r>
        <w:rPr>
          <w:rFonts w:hint="eastAsia" w:ascii="黑体" w:hAnsi="黑体" w:eastAsia="黑体" w:cs="黑体"/>
          <w:sz w:val="32"/>
          <w:szCs w:val="32"/>
          <w:lang w:val="en-US" w:eastAsia="zh-CN"/>
        </w:rPr>
        <w:t xml:space="preserve"> </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我局没有需要报告的事项。</w:t>
      </w:r>
    </w:p>
    <w:p>
      <w:pPr>
        <w:numPr>
          <w:ilvl w:val="0"/>
          <w:numId w:val="0"/>
        </w:numPr>
        <w:ind w:firstLine="640" w:firstLineChars="2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969E3"/>
    <w:rsid w:val="00727F43"/>
    <w:rsid w:val="00EF358B"/>
    <w:rsid w:val="048C7F11"/>
    <w:rsid w:val="0D7E15BA"/>
    <w:rsid w:val="0EAA746C"/>
    <w:rsid w:val="0EFE0FDD"/>
    <w:rsid w:val="12E15DC5"/>
    <w:rsid w:val="14727ECA"/>
    <w:rsid w:val="14FD31FA"/>
    <w:rsid w:val="1E5C51F9"/>
    <w:rsid w:val="212F75A5"/>
    <w:rsid w:val="26CD0495"/>
    <w:rsid w:val="2B5F4789"/>
    <w:rsid w:val="2F5E376E"/>
    <w:rsid w:val="32E77F9A"/>
    <w:rsid w:val="3B6C087B"/>
    <w:rsid w:val="3FD969E3"/>
    <w:rsid w:val="46A71458"/>
    <w:rsid w:val="4D0C3CC8"/>
    <w:rsid w:val="5092280E"/>
    <w:rsid w:val="51CD26FD"/>
    <w:rsid w:val="5663202B"/>
    <w:rsid w:val="5965375E"/>
    <w:rsid w:val="5D5F2504"/>
    <w:rsid w:val="5E2456D1"/>
    <w:rsid w:val="5F9A5A2B"/>
    <w:rsid w:val="61376CA0"/>
    <w:rsid w:val="661B6B34"/>
    <w:rsid w:val="684372B7"/>
    <w:rsid w:val="6ACA7586"/>
    <w:rsid w:val="6F920A4C"/>
    <w:rsid w:val="73293721"/>
    <w:rsid w:val="76890545"/>
    <w:rsid w:val="76D4221A"/>
    <w:rsid w:val="7702526E"/>
    <w:rsid w:val="7A944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Times New Roman"/>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yperlink"/>
    <w:basedOn w:val="8"/>
    <w:qFormat/>
    <w:uiPriority w:val="0"/>
    <w:rPr>
      <w:color w:val="333333"/>
      <w:u w:val="none"/>
    </w:rPr>
  </w:style>
  <w:style w:type="paragraph" w:customStyle="1" w:styleId="12">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13">
    <w:name w:val="icon"/>
    <w:basedOn w:val="8"/>
    <w:qFormat/>
    <w:uiPriority w:val="0"/>
  </w:style>
  <w:style w:type="character" w:customStyle="1" w:styleId="14">
    <w:name w:val="line"/>
    <w:basedOn w:val="8"/>
    <w:qFormat/>
    <w:uiPriority w:val="0"/>
  </w:style>
  <w:style w:type="character" w:customStyle="1" w:styleId="15">
    <w:name w:val="total"/>
    <w:basedOn w:val="8"/>
    <w:qFormat/>
    <w:uiPriority w:val="0"/>
    <w:rPr>
      <w:color w:val="2AB2DD"/>
    </w:rPr>
  </w:style>
  <w:style w:type="character" w:customStyle="1" w:styleId="16">
    <w:name w:val="total1"/>
    <w:basedOn w:val="8"/>
    <w:qFormat/>
    <w:uiPriority w:val="0"/>
    <w:rPr>
      <w:color w:val="2AB2DD"/>
      <w:shd w:val="clear" w:fill="0099FF"/>
    </w:rPr>
  </w:style>
  <w:style w:type="character" w:customStyle="1" w:styleId="17">
    <w:name w:val="cur2"/>
    <w:basedOn w:val="8"/>
    <w:qFormat/>
    <w:uiPriority w:val="0"/>
    <w:rPr>
      <w:shd w:val="clear" w:fill="F75A5C"/>
    </w:rPr>
  </w:style>
  <w:style w:type="character" w:customStyle="1" w:styleId="18">
    <w:name w:val="cur3"/>
    <w:basedOn w:val="8"/>
    <w:qFormat/>
    <w:uiPriority w:val="0"/>
    <w:rPr>
      <w:shd w:val="clear" w:fill="F75A5C"/>
    </w:rPr>
  </w:style>
  <w:style w:type="character" w:customStyle="1" w:styleId="19">
    <w:name w:val="cur4"/>
    <w:basedOn w:val="8"/>
    <w:qFormat/>
    <w:uiPriority w:val="0"/>
  </w:style>
  <w:style w:type="character" w:customStyle="1" w:styleId="20">
    <w:name w:val="cur5"/>
    <w:basedOn w:val="8"/>
    <w:qFormat/>
    <w:uiPriority w:val="0"/>
    <w:rPr>
      <w:b/>
      <w:color w:val="0092F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2018-01-09T09:07:00Z</dcterms:created>
  <dc:creator>hai</dc:creator>
  <cp:lastModifiedBy>Admin</cp:lastModifiedBy>
  <cp:lastPrinted>2020-11-26T02:42:00Z</cp:lastPrinted>
  <dcterms:modified xsi:type="dcterms:W3CDTF">2021-02-02T09:30:00Z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