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  <w:t xml:space="preserve">   </w:t>
      </w: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000000"/>
          <w:spacing w:val="-7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000000"/>
          <w:spacing w:val="-7"/>
          <w:kern w:val="0"/>
          <w:sz w:val="44"/>
          <w:szCs w:val="44"/>
          <w:lang w:val="en-US" w:eastAsia="zh-CN"/>
        </w:rPr>
        <w:t>原州区2024年坡耕地综合治理工程实施方案</w:t>
      </w: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/>
          <w:spacing w:val="-7"/>
          <w:sz w:val="36"/>
          <w:szCs w:val="36"/>
          <w:lang w:val="en-US" w:eastAsia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000000"/>
          <w:spacing w:val="-7"/>
          <w:kern w:val="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000000"/>
          <w:spacing w:val="-7"/>
          <w:kern w:val="0"/>
          <w:sz w:val="40"/>
          <w:szCs w:val="40"/>
          <w:lang w:val="en-US" w:eastAsia="zh-CN"/>
        </w:rPr>
        <w:t>原 州 区 水 务 局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center"/>
        <w:textAlignment w:val="baseline"/>
        <w:rPr>
          <w:rFonts w:hint="default" w:ascii="方正小标宋简体" w:hAnsi="方正小标宋简体" w:eastAsia="方正小标宋简体" w:cs="方正小标宋简体"/>
          <w:b/>
          <w:bCs/>
          <w:snapToGrid w:val="0"/>
          <w:color w:val="000000"/>
          <w:spacing w:val="-7"/>
          <w:kern w:val="0"/>
          <w:sz w:val="40"/>
          <w:szCs w:val="40"/>
          <w:lang w:val="en-US" w:eastAsia="zh-CN"/>
        </w:rPr>
        <w:sectPr>
          <w:pgSz w:w="11900" w:h="16832"/>
          <w:pgMar w:top="1417" w:right="1474" w:bottom="1417" w:left="1587" w:header="0" w:footer="0" w:gutter="0"/>
          <w:cols w:space="0" w:num="1"/>
          <w:rtlGutter w:val="0"/>
          <w:docGrid w:linePitch="0" w:charSpace="0"/>
        </w:sectPr>
      </w:pPr>
      <w:r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000000"/>
          <w:spacing w:val="-7"/>
          <w:kern w:val="0"/>
          <w:sz w:val="40"/>
          <w:szCs w:val="40"/>
          <w:highlight w:val="none"/>
          <w:lang w:val="en-US" w:eastAsia="zh-CN"/>
        </w:rPr>
        <w:t>2024年</w:t>
      </w:r>
      <w:r>
        <w:rPr>
          <w:rFonts w:hint="default" w:ascii="方正小标宋简体" w:hAnsi="方正小标宋简体" w:eastAsia="方正小标宋简体" w:cs="方正小标宋简体"/>
          <w:b/>
          <w:bCs/>
          <w:snapToGrid w:val="0"/>
          <w:color w:val="000000"/>
          <w:spacing w:val="-7"/>
          <w:kern w:val="0"/>
          <w:sz w:val="40"/>
          <w:szCs w:val="40"/>
          <w:highlight w:val="none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000000"/>
          <w:spacing w:val="-7"/>
          <w:kern w:val="0"/>
          <w:sz w:val="40"/>
          <w:szCs w:val="40"/>
          <w:highlight w:val="none"/>
          <w:lang w:val="en-US" w:eastAsia="zh-CN"/>
        </w:rPr>
        <w:t>月</w:t>
      </w:r>
      <w:r>
        <w:rPr>
          <w:rFonts w:hint="default" w:ascii="方正小标宋简体" w:hAnsi="方正小标宋简体" w:eastAsia="方正小标宋简体" w:cs="方正小标宋简体"/>
          <w:b/>
          <w:bCs/>
          <w:snapToGrid w:val="0"/>
          <w:color w:val="000000"/>
          <w:spacing w:val="-7"/>
          <w:kern w:val="0"/>
          <w:sz w:val="40"/>
          <w:szCs w:val="40"/>
          <w:highlight w:val="none"/>
          <w:lang w:val="en-US" w:eastAsia="zh-CN"/>
        </w:rPr>
        <w:t xml:space="preserve"> 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000000"/>
          <w:spacing w:val="-7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napToGrid w:val="0"/>
          <w:color w:val="000000"/>
          <w:spacing w:val="-7"/>
          <w:kern w:val="0"/>
          <w:sz w:val="44"/>
          <w:szCs w:val="44"/>
          <w:lang w:val="en-US" w:eastAsia="zh-CN"/>
        </w:rPr>
        <w:t>原州区2024年坡耕地综合治理工程实施方案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为在现状治理的基础上进一步提质增效，促进黄河流域高质量先行区建设，提高区域水土保持能力，改善区域生态环境，促进区域经济可持续发展，制订本实施方案。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1" w:firstLineChars="200"/>
        <w:jc w:val="both"/>
        <w:textAlignment w:val="baseline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一、项目建设基本情况及必要性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原州区2024年坡耕地综合治理工程区涉及张易镇南湾、河川乡郭家湾2个片区，其中，南湾片区涉及张易镇南湾1个行政村，郭家湾片区涉及河川乡黄河、上黄2个行政村。项目区总面积51.14km²。南湾片区位于原州区西南部、张易镇的西部，葫芦河上游左岸一级支流马莲川河中上游右岸，主要涉及马莲川河右岸雨洛沟、马其沟及其区间的一条无名沟。距离张易镇20km，距离固原市区约60km。项目区属自治区小流域区划之原州区葫芦河雨洛沟流域，小流域编号为DC13000060640402。片区总面积25.70km²。涉及张易镇南湾1个行政村，涉及总人口1372人，劳动力618人，耕地总面积895.45hm²，平均人口密度53人/km2，人均耕地9.79亩。郭家湾片区属于茹河流域，位于原州区东部茹河一级支流黄家河流域，中心距固原市城区40.0km。本项目涉及原州区河川乡黄河村、上黄村2个行政村，片区总面积25.44km²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流域现存的梯田多数田面较窄，宽度不足10m，已不适应我国现代农业发展的形势要求，亟需开展提升治理；流域林草覆盖率仍然较低，荒坡荒沟面积大，现状林地还有部分为疏幼林地 ，自然生态系统脆弱，水源涵养功能较低，入河泥沙量仍然较大，植树造林措施待进一步加强；流域内生产道路网络、村庄排水系统需要进一步完善 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1" w:firstLineChars="200"/>
        <w:jc w:val="both"/>
        <w:textAlignment w:val="baseline"/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 xml:space="preserve"> 二、目标任务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通过项目建设进一步治理水土流失，改善生态环境，减少入河泥沙；保护耕地资源，提高耕地质量，提升农业综合生产能力；改善农村生产条件和生活环境，显著增强抵御自然灾害的能力，促进农村经济社会发展；进一步保护和建设流域植被，提高流域涵养水源能力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1" w:firstLineChars="200"/>
        <w:jc w:val="both"/>
        <w:textAlignment w:val="baseline"/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三、实施内容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本项目规划新增水土流失治理面积11.30平方公里。其中：（1）河川乡郭家湾片区:建设水平梯田面积共541.21公顷，其中新修梯田面积71.80公顷，老旧梯田改造面积469.41公顷。配套机深耕和增施有机肥面积491.88公顷;新建生产道路6.64公里，道路排水沟0.44公里，排水沟120米;营造水土保持林面积60.13公顷，其中荒坡造林面积47.33公顷，沟道造林面积 12.13公顷，道路绿化林面积0.67公顷。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（2）张易镇南湾片区:建设水平梯田总面积507.5公顷，其中新修梯田面积108.43公顷,老旧梯田改造面积399.07公顷。配套机深耕和增施有机肥面积444.25公顷;新修生产道路总长9.66 公里;新建漫水桥2座;布设过路涵管5座，其中新建4座，维修1座;新建排水沟789米;新建沟头防护1处，沟头回填工程1处;荒坡造林面积18.38公顷;栽植行道树长9.66公里(折合2.9公顷);沟头回填坡面造林面积245平方米。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1" w:firstLineChars="200"/>
        <w:jc w:val="both"/>
        <w:textAlignment w:val="baseline"/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 xml:space="preserve">四、项目资金安排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 xml:space="preserve"> 该项工程概算总投资2348.07万元。其资金来源为争取中央预算内资金及其他整合资金。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1" w:firstLineChars="200"/>
        <w:jc w:val="both"/>
        <w:textAlignment w:val="baseline"/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五、资金使用要求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 xml:space="preserve"> 严格按照项目资金管理和要求，规范资金兑付程序，资金使用专款专用，严禁截留、挤占和挪用，同时建立公示、公告制，接受社会各界的广泛监督，做到阳光操作，同时加强资金使用的跟踪和检查。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六、建设期限和实施进度安排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(一)建设期限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项目建设期1年，即从2024年7月—2025年7月。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(二)实施进度安排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本项目施工计划到2024年12月完成建设任务的80%，到2025年7月建设任务全部完成。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1" w:firstLineChars="200"/>
        <w:jc w:val="both"/>
        <w:textAlignment w:val="auto"/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七、收益对象与利益联结机制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（一）收益对象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该项目区内群众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（二）利益联结机制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该项目实施，增加了群众的就业频次；梯田的改造和增加，提高了土地产量，增加了群众经济收入；生产道路和荒沟荒坡造林等措施的实施，改善了项目区内群众的生产生活条件和生态环境。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1" w:firstLineChars="200"/>
        <w:jc w:val="both"/>
        <w:textAlignment w:val="baseline"/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八、绩效目标</w:t>
      </w:r>
    </w:p>
    <w:p>
      <w:pPr>
        <w:pStyle w:val="11"/>
        <w:numPr>
          <w:ilvl w:val="0"/>
          <w:numId w:val="0"/>
        </w:numPr>
        <w:ind w:right="19" w:rightChars="9"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总体目标：新增治理水土流失面积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11.30</w:t>
      </w:r>
      <w:r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平方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公</w:t>
      </w:r>
      <w:r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里；</w:t>
      </w:r>
    </w:p>
    <w:p>
      <w:pPr>
        <w:pStyle w:val="11"/>
        <w:numPr>
          <w:ilvl w:val="0"/>
          <w:numId w:val="0"/>
        </w:numPr>
        <w:ind w:right="1470" w:rightChars="700"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质量指标：项目工程验收合格率为100%；</w:t>
      </w:r>
    </w:p>
    <w:p>
      <w:pPr>
        <w:pStyle w:val="11"/>
        <w:numPr>
          <w:ilvl w:val="0"/>
          <w:numId w:val="0"/>
        </w:numPr>
        <w:ind w:right="1470" w:rightChars="700"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时效指标：项目工程完成及时率为100%；</w:t>
      </w:r>
    </w:p>
    <w:p>
      <w:pPr>
        <w:pStyle w:val="11"/>
        <w:numPr>
          <w:ilvl w:val="0"/>
          <w:numId w:val="0"/>
        </w:numPr>
        <w:ind w:right="1470" w:rightChars="700"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社会效益指标：受益人数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3415</w:t>
      </w:r>
      <w:r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人；</w:t>
      </w:r>
    </w:p>
    <w:p>
      <w:pPr>
        <w:pStyle w:val="11"/>
        <w:numPr>
          <w:ilvl w:val="0"/>
          <w:numId w:val="0"/>
        </w:numPr>
        <w:ind w:right="19" w:rightChars="9"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服务对象满意度指标：项目区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群众</w:t>
      </w:r>
      <w:r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满意度为95%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以上</w:t>
      </w:r>
      <w:r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1" w:firstLineChars="200"/>
        <w:jc w:val="both"/>
        <w:textAlignment w:val="auto"/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九、项目资产管护运营</w:t>
      </w:r>
    </w:p>
    <w:p>
      <w:pPr>
        <w:pStyle w:val="11"/>
        <w:numPr>
          <w:ilvl w:val="0"/>
          <w:numId w:val="0"/>
        </w:numPr>
        <w:ind w:right="19" w:rightChars="9"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该项目竣工验收后移交张易镇南湾村委会、河川乡黄河村、上黄村委会管护运营。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1" w:firstLineChars="200"/>
        <w:jc w:val="both"/>
        <w:textAlignment w:val="auto"/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十、工作措施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(一)加强组织领导。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原州区水务局作为行业属地主管部门，指定原州区水利工程建设管理站作为项目法人，履行项目建设管理单位职责。原州区水土保持工作站作为项目具体实施单位，负责项目建设日常管理工作。原州区审批局负责审核、批复项目，其它相关质量监督、审计等部门负责对项目工程建设质量、资金使用情况的检查监督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 xml:space="preserve">(二)细化实施方案。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根据国家水土保持重点工程建设的有关要求，本项目执行水土保持基本建设项目有关管理制度。严格推行基本建设项目“四制”管理原则，即执行建设项目法人负责制、项目招投标制、工程施工监理制及项目合同制管理。并积极推行项目公示制，建立健全管理机构，规范监管程序，确保水土流失综合治理工程建设项目的顺利实施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 xml:space="preserve">(三)创新工作机制。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逐步完善绩效考核工作运行机制，落实资金使用效益。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 xml:space="preserve">(四)规范项目管理。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1、抓好项目队伍建设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根据工程项目的规模、特点、工期的长短、企业对该工程的期望目标，选择科学的组织结构形式，分工明确，责任到人，使各专业、各部门人员相互了解，定期召开思想交流会，针对施工现场及职工思想动态，及时交流、及时处理，增强团结，提高办事效率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收入分配要进行绩效考核，由项目经理牵头，根据每一位员工的工作目标量化分解，每月进行一次考核，考核其工作完成情况，实现按劳分配。同时制订激励约束措施，充分调动每一个人的积极性。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培养知识型的人，项目部全体管理人员不断加强专业知识和管理知识学习，在实践中学习，在学习中实践，将理论与实践相结合，运用技术手段、管理手段、法律手段、经济手段解决各种问题，创造出一套自己的工程项目管理经验，不断提高全体管理人员的专业技术水平和管理水平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通过文明工地建设，给职工创建一个良好的施工环境，员工之间互帮互助，使大家在工地感受到家的温暖。要以人为本，把职工当作主体，要通过相信人、理解人、尊重人、岗位对、责任明、权利足、激励等措施，激发人的积极性，提高其管理工作效率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2、加强质量管理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（1）建立质量保证体系。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项目部在开工前，要根据企业《质量、环境、职业健康安全》管理体系，建立健全吗，项目质量保证体系，确定质量目标，进行目标量化分解，坚持“质量第一，预防为主”的方针和“计划、执行、检查、处理”循环工作方法，不断改进过程控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（2）做好质量计划。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对各个阶段实施有效的控制质量计划对外是质量保证，对内是质量控制的依据，由项目经理主持编制，要体现从工序、分项工程、分部工程到单位工程的过程控制，从资源投入到完成工程质量最终检验和试验的全过程控制。加强技术指导工作，使每道工序都要做到有方案、有措施、有交底，有标准、有要求，把每道工序建成精品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（3）质量持续改进。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项目部应分析和评价项目的成绩、需求、优势和不足等管理现状，识别持续改进区域，确定改进目标，实施选定的解决办法，确保质量保证体系的适宜性、充分性和有效性，依赖科学技术的发展，不断提高项目部的质量管理水平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 xml:space="preserve">(五)严格督查考核。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健全完善工作目标管理责任制考核办法，逐级签订目标责任书，靠实责任，确保落实。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(六)严格资金管理。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 xml:space="preserve"> 严格按照项目资金管理和要求，规范项目实施程序，明确验收标准和程序、资金兑付程序； 加强和完善项目资金管理，资金使用专款专用，严禁截留、挤占和挪用，同时建立公示、公告制，接受社会各界的广泛监督，做到阳光操作、公开透明，确保资金使用的规范性和财务制度的健全性，同时加强资金使用的跟踪和检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1" w:firstLineChars="200"/>
        <w:jc w:val="both"/>
        <w:textAlignment w:val="auto"/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国标黑体" w:hAnsi="国标黑体" w:eastAsia="国标黑体" w:cs="国标黑体"/>
          <w:b/>
          <w:bCs/>
          <w:caps w:val="0"/>
          <w:snapToGrid/>
          <w:color w:val="404040"/>
          <w:spacing w:val="0"/>
          <w:kern w:val="2"/>
          <w:sz w:val="32"/>
          <w:szCs w:val="32"/>
          <w:lang w:val="en-US" w:eastAsia="zh-CN" w:bidi="ar-SA"/>
        </w:rPr>
        <w:t>十一、附件：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  <w:t>2024年原州区坡耕地综合治理工程投资概算表</w:t>
      </w:r>
    </w:p>
    <w:p>
      <w:pPr>
        <w:spacing w:before="181" w:line="220" w:lineRule="auto"/>
        <w:ind w:left="510"/>
        <w:jc w:val="left"/>
        <w:rPr>
          <w:rFonts w:hint="eastAsia" w:ascii="方正仿宋_GBK" w:hAnsi="方正仿宋_GBK" w:eastAsia="方正仿宋_GBK" w:cs="方正仿宋_GBK"/>
          <w:sz w:val="32"/>
          <w:szCs w:val="32"/>
          <w:highlight w:val="yellow"/>
        </w:rPr>
      </w:pPr>
    </w:p>
    <w:p>
      <w:pPr>
        <w:spacing w:line="243" w:lineRule="auto"/>
        <w:rPr>
          <w:rFonts w:ascii="Arial"/>
          <w:sz w:val="21"/>
          <w:highlight w:val="yellow"/>
        </w:rPr>
      </w:pPr>
    </w:p>
    <w:p>
      <w:pPr>
        <w:spacing w:line="243" w:lineRule="auto"/>
        <w:rPr>
          <w:rFonts w:ascii="Arial"/>
          <w:sz w:val="21"/>
          <w:highlight w:val="yellow"/>
        </w:rPr>
      </w:pPr>
    </w:p>
    <w:p>
      <w:pPr>
        <w:pStyle w:val="11"/>
        <w:rPr>
          <w:highlight w:val="yellow"/>
        </w:rPr>
      </w:pPr>
    </w:p>
    <w:p>
      <w:pPr>
        <w:spacing w:line="243" w:lineRule="auto"/>
        <w:rPr>
          <w:rFonts w:ascii="Arial"/>
          <w:sz w:val="21"/>
          <w:highlight w:val="yellow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default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  <w:t>固原市原州区水务局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  <w:t>2024年</w:t>
      </w:r>
      <w:r>
        <w:rPr>
          <w:rFonts w:hint="default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  <w:t>4</w:t>
      </w:r>
      <w:r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  <w:t>月</w:t>
      </w:r>
      <w:r>
        <w:rPr>
          <w:rFonts w:hint="default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  <w:t>3</w:t>
      </w:r>
      <w:r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  <w:t>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3538855</wp:posOffset>
            </wp:positionV>
            <wp:extent cx="5596255" cy="4197350"/>
            <wp:effectExtent l="0" t="0" r="4445" b="12700"/>
            <wp:wrapSquare wrapText="bothSides"/>
            <wp:docPr id="5" name="图片 5" descr="7743267dec9d0e7d8684499b1f3e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43267dec9d0e7d8684499b1f3e08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aps w:val="0"/>
          <w:snapToGrid/>
          <w:color w:val="404040"/>
          <w:spacing w:val="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481330</wp:posOffset>
            </wp:positionV>
            <wp:extent cx="5600700" cy="2520315"/>
            <wp:effectExtent l="0" t="0" r="0" b="13335"/>
            <wp:wrapSquare wrapText="bothSides"/>
            <wp:docPr id="4" name="图片 4" descr="c98ff1756e7af92271a0e9a05fd6fd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8ff1756e7af92271a0e9a05fd6fdf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黑体" w:hAnsi="黑体" w:eastAsia="黑体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83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83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9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4635500</wp:posOffset>
            </wp:positionV>
            <wp:extent cx="5606415" cy="4203065"/>
            <wp:effectExtent l="0" t="0" r="13335" b="6985"/>
            <wp:wrapSquare wrapText="bothSides"/>
            <wp:docPr id="8" name="图片 8" descr="da75aa4d011860662373551dc97b4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a75aa4d011860662373551dc97b46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96255" cy="4197350"/>
            <wp:effectExtent l="0" t="0" r="4445" b="12700"/>
            <wp:docPr id="6" name="图片 6" descr="0a6a7e22b1a01138d3a939f93394f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6a7e22b1a01138d3a939f93394f9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4381500</wp:posOffset>
            </wp:positionV>
            <wp:extent cx="5596255" cy="4197350"/>
            <wp:effectExtent l="0" t="0" r="4445" b="12700"/>
            <wp:wrapSquare wrapText="bothSides"/>
            <wp:docPr id="9" name="图片 9" descr="ed3aee912a10650fecec096d9d5e4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3aee912a10650fecec096d9d5e4e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06415" cy="4203065"/>
            <wp:effectExtent l="0" t="0" r="13335" b="6985"/>
            <wp:docPr id="10" name="图片 10" descr="eb3255eabc1e13f2a412823252c1e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b3255eabc1e13f2a412823252c1ed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sectPr>
      <w:pgSz w:w="11900" w:h="16832"/>
      <w:pgMar w:top="1417" w:right="1474" w:bottom="1417" w:left="1587" w:header="0" w:footer="0" w:gutter="0"/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FreeSerif"/>
    <w:panose1 w:val="02040503050406030204"/>
    <w:charset w:val="00"/>
    <w:family w:val="auto"/>
    <w:pitch w:val="default"/>
    <w:sig w:usb0="00000000" w:usb1="00000000" w:usb2="00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国标黑体">
    <w:panose1 w:val="02000500000000000000"/>
    <w:charset w:val="86"/>
    <w:family w:val="auto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6213D0"/>
    <w:multiLevelType w:val="multilevel"/>
    <w:tmpl w:val="D86213D0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DY3ZGY5MzEyZDQxNWQ3MTMyMjhhZDgwY2Q5NDBmNTkifQ=="/>
  </w:docVars>
  <w:rsids>
    <w:rsidRoot w:val="00000000"/>
    <w:rsid w:val="001263EC"/>
    <w:rsid w:val="02451A4C"/>
    <w:rsid w:val="024A13A5"/>
    <w:rsid w:val="03771379"/>
    <w:rsid w:val="05971F55"/>
    <w:rsid w:val="05AD113B"/>
    <w:rsid w:val="07A33243"/>
    <w:rsid w:val="083C30F8"/>
    <w:rsid w:val="08F17FDE"/>
    <w:rsid w:val="095511AC"/>
    <w:rsid w:val="097A4E1C"/>
    <w:rsid w:val="0A5847B8"/>
    <w:rsid w:val="0E567261"/>
    <w:rsid w:val="0EBE0962"/>
    <w:rsid w:val="10525D0F"/>
    <w:rsid w:val="15634662"/>
    <w:rsid w:val="17471E3D"/>
    <w:rsid w:val="1D271DC8"/>
    <w:rsid w:val="1FCF11BE"/>
    <w:rsid w:val="22AB7554"/>
    <w:rsid w:val="236E03B0"/>
    <w:rsid w:val="24DB72CA"/>
    <w:rsid w:val="2641214D"/>
    <w:rsid w:val="2B035C23"/>
    <w:rsid w:val="2B59575B"/>
    <w:rsid w:val="35537B93"/>
    <w:rsid w:val="36907168"/>
    <w:rsid w:val="376A2040"/>
    <w:rsid w:val="399565E0"/>
    <w:rsid w:val="3BEE1A6D"/>
    <w:rsid w:val="3DF7694D"/>
    <w:rsid w:val="3DFE9F0F"/>
    <w:rsid w:val="3E5F36F1"/>
    <w:rsid w:val="3EBDC975"/>
    <w:rsid w:val="3EFF35B4"/>
    <w:rsid w:val="41894C7C"/>
    <w:rsid w:val="46E464B1"/>
    <w:rsid w:val="47A0687C"/>
    <w:rsid w:val="49AA155B"/>
    <w:rsid w:val="4BAF082C"/>
    <w:rsid w:val="4D3704C0"/>
    <w:rsid w:val="4E944C60"/>
    <w:rsid w:val="4FF1FA84"/>
    <w:rsid w:val="4FFDA2F9"/>
    <w:rsid w:val="55AF14EE"/>
    <w:rsid w:val="55BB4A8F"/>
    <w:rsid w:val="56285557"/>
    <w:rsid w:val="573F0049"/>
    <w:rsid w:val="57CA9377"/>
    <w:rsid w:val="59FF35B4"/>
    <w:rsid w:val="5A04713E"/>
    <w:rsid w:val="5AF7C020"/>
    <w:rsid w:val="5CD34BA6"/>
    <w:rsid w:val="5EAC0EB1"/>
    <w:rsid w:val="5EEBA39B"/>
    <w:rsid w:val="5FBE568E"/>
    <w:rsid w:val="62EA5256"/>
    <w:rsid w:val="633345F0"/>
    <w:rsid w:val="63FE3DE4"/>
    <w:rsid w:val="64D61BED"/>
    <w:rsid w:val="66FE3EF0"/>
    <w:rsid w:val="685079F2"/>
    <w:rsid w:val="68701E42"/>
    <w:rsid w:val="6BFE3BA3"/>
    <w:rsid w:val="6C296590"/>
    <w:rsid w:val="6CC30793"/>
    <w:rsid w:val="6F7E6BF3"/>
    <w:rsid w:val="6FFF86D9"/>
    <w:rsid w:val="71706A0F"/>
    <w:rsid w:val="730641F5"/>
    <w:rsid w:val="761E0A26"/>
    <w:rsid w:val="76913123"/>
    <w:rsid w:val="7736E1B7"/>
    <w:rsid w:val="78811502"/>
    <w:rsid w:val="79FE8A78"/>
    <w:rsid w:val="7A4E41D9"/>
    <w:rsid w:val="7AFE1C2F"/>
    <w:rsid w:val="7B5D0A3C"/>
    <w:rsid w:val="7BCF93F6"/>
    <w:rsid w:val="7BFA3AA5"/>
    <w:rsid w:val="7BFDA9ED"/>
    <w:rsid w:val="7D95251F"/>
    <w:rsid w:val="7DEFAD61"/>
    <w:rsid w:val="7E155FF5"/>
    <w:rsid w:val="7EDF7E5E"/>
    <w:rsid w:val="7F0FFABA"/>
    <w:rsid w:val="7F3F31F6"/>
    <w:rsid w:val="7F743CE4"/>
    <w:rsid w:val="7FBDB46B"/>
    <w:rsid w:val="7FC7CA89"/>
    <w:rsid w:val="7FF7715A"/>
    <w:rsid w:val="7FFEC4DA"/>
    <w:rsid w:val="8F651F69"/>
    <w:rsid w:val="A6F74455"/>
    <w:rsid w:val="A95F996B"/>
    <w:rsid w:val="BB5F71A9"/>
    <w:rsid w:val="BBEF5D48"/>
    <w:rsid w:val="BDFE0293"/>
    <w:rsid w:val="BF3F9845"/>
    <w:rsid w:val="CFF7CC75"/>
    <w:rsid w:val="D9F5F2C0"/>
    <w:rsid w:val="E3417CD1"/>
    <w:rsid w:val="E57FDB5D"/>
    <w:rsid w:val="E6F8B213"/>
    <w:rsid w:val="E9FFF120"/>
    <w:rsid w:val="EB9907A2"/>
    <w:rsid w:val="EC39A283"/>
    <w:rsid w:val="EDFE3C29"/>
    <w:rsid w:val="EFBA6C4D"/>
    <w:rsid w:val="EFE79179"/>
    <w:rsid w:val="F1BFB256"/>
    <w:rsid w:val="F6FF9F85"/>
    <w:rsid w:val="F95FFAAB"/>
    <w:rsid w:val="FCBFD6BE"/>
    <w:rsid w:val="FCC5946D"/>
    <w:rsid w:val="FEFF3727"/>
    <w:rsid w:val="FF3ECAB2"/>
    <w:rsid w:val="FF7D8784"/>
    <w:rsid w:val="FF7F1CD3"/>
    <w:rsid w:val="FFBE871F"/>
    <w:rsid w:val="FFDEB263"/>
    <w:rsid w:val="FFFB2080"/>
    <w:rsid w:val="FFFF17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39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黑体" w:hAnsi="黑体" w:eastAsia="黑体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9"/>
    <w:pPr>
      <w:keepNext/>
      <w:keepLines/>
      <w:numPr>
        <w:ilvl w:val="0"/>
        <w:numId w:val="1"/>
      </w:numPr>
      <w:spacing w:before="50" w:beforeLines="50" w:line="288" w:lineRule="auto"/>
      <w:outlineLvl w:val="0"/>
    </w:pPr>
    <w:rPr>
      <w:rFonts w:eastAsia="黑体" w:asciiTheme="majorEastAsia" w:hAnsiTheme="majorEastAsia" w:cstheme="minorBidi"/>
      <w:b/>
      <w:bCs/>
      <w:kern w:val="44"/>
      <w:sz w:val="40"/>
      <w:szCs w:val="18"/>
      <w:lang w:val="en-US" w:eastAsia="zh-CN" w:bidi="ar-SA"/>
    </w:rPr>
  </w:style>
  <w:style w:type="paragraph" w:styleId="3">
    <w:name w:val="heading 2"/>
    <w:next w:val="1"/>
    <w:unhideWhenUsed/>
    <w:qFormat/>
    <w:uiPriority w:val="9"/>
    <w:pPr>
      <w:numPr>
        <w:ilvl w:val="1"/>
        <w:numId w:val="1"/>
      </w:numPr>
      <w:tabs>
        <w:tab w:val="left" w:pos="0"/>
      </w:tabs>
      <w:spacing w:before="156" w:after="156"/>
      <w:ind w:left="0" w:firstLine="0"/>
      <w:outlineLvl w:val="1"/>
    </w:pPr>
    <w:rPr>
      <w:rFonts w:ascii="Arial" w:hAnsi="Arial" w:eastAsia="黑体" w:cstheme="minorBidi"/>
      <w:b/>
      <w:kern w:val="2"/>
      <w:sz w:val="32"/>
      <w:lang w:val="en-US" w:eastAsia="zh-CN" w:bidi="ar-SA"/>
    </w:rPr>
  </w:style>
  <w:style w:type="paragraph" w:styleId="4">
    <w:name w:val="heading 3"/>
    <w:next w:val="1"/>
    <w:unhideWhenUsed/>
    <w:qFormat/>
    <w:uiPriority w:val="9"/>
    <w:pPr>
      <w:numPr>
        <w:ilvl w:val="2"/>
        <w:numId w:val="1"/>
      </w:numPr>
      <w:tabs>
        <w:tab w:val="left" w:pos="312"/>
      </w:tabs>
      <w:ind w:left="0" w:firstLine="400"/>
      <w:outlineLvl w:val="2"/>
    </w:pPr>
    <w:rPr>
      <w:rFonts w:ascii="Arial" w:hAnsi="Arial" w:eastAsia="黑体" w:cstheme="minorBidi"/>
      <w:b/>
      <w:kern w:val="2"/>
      <w:sz w:val="30"/>
      <w:szCs w:val="30"/>
      <w:lang w:val="en-US" w:eastAsia="zh-CN" w:bidi="ar-SA"/>
    </w:rPr>
  </w:style>
  <w:style w:type="paragraph" w:styleId="5">
    <w:name w:val="heading 4"/>
    <w:next w:val="1"/>
    <w:unhideWhenUsed/>
    <w:qFormat/>
    <w:uiPriority w:val="9"/>
    <w:pPr>
      <w:numPr>
        <w:ilvl w:val="3"/>
        <w:numId w:val="1"/>
      </w:numPr>
      <w:ind w:left="0" w:firstLine="402"/>
      <w:outlineLvl w:val="3"/>
    </w:pPr>
    <w:rPr>
      <w:rFonts w:ascii="Arial" w:hAnsi="Arial" w:eastAsia="黑体" w:cstheme="minorBidi"/>
      <w:b/>
      <w:sz w:val="28"/>
      <w:lang w:val="en-US" w:eastAsia="zh-CN" w:bidi="ar-SA"/>
    </w:rPr>
  </w:style>
  <w:style w:type="paragraph" w:styleId="6">
    <w:name w:val="heading 5"/>
    <w:next w:val="1"/>
    <w:unhideWhenUsed/>
    <w:qFormat/>
    <w:uiPriority w:val="9"/>
    <w:pPr>
      <w:numPr>
        <w:ilvl w:val="4"/>
        <w:numId w:val="1"/>
      </w:numPr>
      <w:tabs>
        <w:tab w:val="left" w:pos="312"/>
      </w:tabs>
      <w:spacing w:before="30" w:beforeLines="30" w:after="30" w:afterLines="30"/>
      <w:ind w:left="0" w:firstLine="402"/>
      <w:outlineLvl w:val="4"/>
    </w:pPr>
    <w:rPr>
      <w:rFonts w:ascii="Arial" w:hAnsi="Arial" w:eastAsiaTheme="majorEastAsia" w:cstheme="minorBidi"/>
      <w:b/>
      <w:sz w:val="24"/>
      <w:szCs w:val="22"/>
      <w:lang w:val="en-US" w:eastAsia="zh-CN" w:bidi="ar-SA"/>
    </w:rPr>
  </w:style>
  <w:style w:type="paragraph" w:styleId="7">
    <w:name w:val="heading 6"/>
    <w:next w:val="1"/>
    <w:unhideWhenUsed/>
    <w:qFormat/>
    <w:uiPriority w:val="0"/>
    <w:pPr>
      <w:numPr>
        <w:ilvl w:val="5"/>
        <w:numId w:val="1"/>
      </w:numPr>
      <w:spacing w:before="30" w:beforeLines="30" w:after="30" w:afterLines="30" w:line="312" w:lineRule="auto"/>
      <w:ind w:left="0" w:firstLine="402"/>
      <w:outlineLvl w:val="5"/>
    </w:pPr>
    <w:rPr>
      <w:rFonts w:ascii="Arial" w:hAnsi="Arial" w:eastAsia="黑体" w:cstheme="minorBidi"/>
      <w:b/>
      <w:sz w:val="24"/>
      <w:lang w:val="en-US" w:eastAsia="zh-CN" w:bidi="ar-SA"/>
    </w:rPr>
  </w:style>
  <w:style w:type="paragraph" w:styleId="8">
    <w:name w:val="heading 7"/>
    <w:next w:val="1"/>
    <w:unhideWhenUsed/>
    <w:qFormat/>
    <w:uiPriority w:val="0"/>
    <w:pPr>
      <w:numPr>
        <w:ilvl w:val="6"/>
        <w:numId w:val="1"/>
      </w:numPr>
      <w:spacing w:before="30" w:beforeLines="30" w:after="30" w:afterLines="30" w:line="312" w:lineRule="auto"/>
      <w:ind w:left="0" w:firstLine="402"/>
      <w:outlineLvl w:val="6"/>
    </w:pPr>
    <w:rPr>
      <w:rFonts w:ascii="Arial" w:hAnsi="Arial" w:eastAsia="黑体" w:cstheme="minorBidi"/>
      <w:b/>
      <w:sz w:val="24"/>
      <w:lang w:val="en-US" w:eastAsia="zh-CN" w:bidi="ar-SA"/>
    </w:rPr>
  </w:style>
  <w:style w:type="paragraph" w:styleId="9">
    <w:name w:val="heading 8"/>
    <w:next w:val="1"/>
    <w:unhideWhenUsed/>
    <w:qFormat/>
    <w:uiPriority w:val="0"/>
    <w:pPr>
      <w:numPr>
        <w:ilvl w:val="7"/>
        <w:numId w:val="1"/>
      </w:numPr>
      <w:spacing w:before="30" w:beforeLines="30" w:after="30" w:afterLines="30" w:line="312" w:lineRule="auto"/>
      <w:ind w:left="0" w:firstLine="402"/>
      <w:outlineLvl w:val="7"/>
    </w:pPr>
    <w:rPr>
      <w:rFonts w:eastAsia="黑体" w:asciiTheme="majorAscii" w:hAnsiTheme="majorAscii" w:cstheme="majorBidi"/>
      <w:b/>
      <w:sz w:val="24"/>
      <w:lang w:val="en-US" w:eastAsia="zh-CN" w:bidi="ar-SA"/>
    </w:rPr>
  </w:style>
  <w:style w:type="paragraph" w:styleId="10">
    <w:name w:val="heading 9"/>
    <w:next w:val="1"/>
    <w:unhideWhenUsed/>
    <w:qFormat/>
    <w:uiPriority w:val="0"/>
    <w:pPr>
      <w:numPr>
        <w:ilvl w:val="8"/>
        <w:numId w:val="1"/>
      </w:numPr>
      <w:spacing w:before="30" w:beforeLines="30" w:after="30" w:afterLines="30" w:line="312" w:lineRule="auto"/>
      <w:ind w:left="0" w:firstLine="402"/>
      <w:outlineLvl w:val="8"/>
    </w:pPr>
    <w:rPr>
      <w:rFonts w:eastAsia="黑体" w:asciiTheme="majorAscii" w:hAnsiTheme="majorAscii" w:cstheme="majorBidi"/>
      <w:b/>
      <w:sz w:val="24"/>
      <w:szCs w:val="21"/>
      <w:lang w:val="en-US" w:eastAsia="zh-CN" w:bidi="ar-SA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12">
    <w:name w:val="toc 4"/>
    <w:basedOn w:val="1"/>
    <w:next w:val="1"/>
    <w:semiHidden/>
    <w:qFormat/>
    <w:uiPriority w:val="39"/>
    <w:pPr>
      <w:ind w:left="630"/>
    </w:pPr>
    <w:rPr>
      <w:sz w:val="18"/>
      <w:szCs w:val="21"/>
    </w:rPr>
  </w:style>
  <w:style w:type="paragraph" w:styleId="13">
    <w:name w:val="Subtitle"/>
    <w:basedOn w:val="1"/>
    <w:qFormat/>
    <w:uiPriority w:val="0"/>
    <w:pPr>
      <w:spacing w:before="120" w:beforeLines="0" w:beforeAutospacing="0" w:after="60" w:afterLines="0" w:afterAutospacing="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14">
    <w:name w:val="Normal (Web)"/>
    <w:basedOn w:val="1"/>
    <w:qFormat/>
    <w:uiPriority w:val="0"/>
    <w:rPr>
      <w:sz w:val="24"/>
    </w:rPr>
  </w:style>
  <w:style w:type="paragraph" w:styleId="15">
    <w:name w:val="Title"/>
    <w:basedOn w:val="1"/>
    <w:qFormat/>
    <w:uiPriority w:val="10"/>
    <w:pPr>
      <w:spacing w:line="240" w:lineRule="auto"/>
      <w:ind w:firstLine="0" w:firstLineChars="0"/>
      <w:jc w:val="center"/>
      <w:outlineLvl w:val="0"/>
    </w:pPr>
    <w:rPr>
      <w:rFonts w:asciiTheme="majorEastAsia" w:hAnsiTheme="majorEastAsia"/>
      <w:b/>
      <w:sz w:val="52"/>
      <w:szCs w:val="44"/>
    </w:rPr>
  </w:style>
  <w:style w:type="character" w:styleId="18">
    <w:name w:val="Strong"/>
    <w:basedOn w:val="17"/>
    <w:qFormat/>
    <w:uiPriority w:val="22"/>
    <w:rPr>
      <w:rFonts w:ascii="Arial" w:hAnsi="Arial" w:eastAsia="黑体"/>
      <w:b/>
      <w:color w:val="auto"/>
      <w:u w:val="single"/>
    </w:rPr>
  </w:style>
  <w:style w:type="character" w:styleId="19">
    <w:name w:val="Emphasis"/>
    <w:basedOn w:val="17"/>
    <w:qFormat/>
    <w:uiPriority w:val="20"/>
    <w:rPr>
      <w:rFonts w:ascii="Arial" w:hAnsi="Arial" w:eastAsia="黑体"/>
      <w:b/>
      <w:bCs/>
      <w:i/>
      <w:color w:val="auto"/>
      <w:sz w:val="24"/>
      <w:szCs w:val="22"/>
    </w:rPr>
  </w:style>
  <w:style w:type="table" w:customStyle="1" w:styleId="2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Char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TotalTime>8</TotalTime>
  <ScaleCrop>false</ScaleCrop>
  <LinksUpToDate>false</LinksUpToDate>
  <Application>WPS Office_12.8.2.15209_F1E327BC-269C-435d-A152-05C5408002CA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2023-09-10T01:54:00Z</dcterms:created>
  <dc:creator>Kingsoft-PDF</dc:creator>
  <cp:lastModifiedBy>unis</cp:lastModifiedBy>
  <cp:lastPrinted>2025-09-19T18:52:09Z</cp:lastPrinted>
  <dcterms:modified xsi:type="dcterms:W3CDTF">2025-09-19T18:52:31Z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2023-09-09T09:54:28Z</vt:filetime>
  </property>
  <property fmtid="{D5CDD505-2E9C-101B-9397-08002B2CF9AE}" pid="4" name="UsrData">
    <vt:lpwstr>64fbd050eb3e80001f21c4d7wl</vt:lpwstr>
  </property>
  <property fmtid="{D5CDD505-2E9C-101B-9397-08002B2CF9AE}" pid="5" name="KSOProductBuildVer">
    <vt:lpwstr>2052-12.8.2.15209</vt:lpwstr>
  </property>
  <property fmtid="{D5CDD505-2E9C-101B-9397-08002B2CF9AE}" pid="6" name="ICV">
    <vt:lpwstr>8D5777BB3B070F44EE04CD68876437CB_43</vt:lpwstr>
  </property>
</Properties>
</file>