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  <w:t xml:space="preserve">   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原州区2025年大红沟上游项目区小流域（北洼片区）综合治理提质增效项目实施方案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lang w:val="en-US" w:eastAsia="zh-CN"/>
        </w:rPr>
        <w:t>原 州 区 水 务 局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highlight w:val="none"/>
          <w:lang w:val="en-US" w:eastAsia="zh-CN"/>
        </w:rPr>
        <w:t>2025年5月8日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0"/>
          <w:szCs w:val="40"/>
          <w:lang w:val="en-US" w:eastAsia="zh-CN"/>
        </w:rPr>
        <w:sectPr>
          <w:pgSz w:w="11900" w:h="16832"/>
          <w:pgMar w:top="1417" w:right="1474" w:bottom="1417" w:left="1587" w:header="0" w:footer="0" w:gutter="0"/>
          <w:cols w:space="0" w:num="1"/>
          <w:rtlGutter w:val="0"/>
          <w:docGrid w:linePitch="0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原州区2025年大红沟上游项目区小流域（北洼片区）综合治理提质增效项目实施方案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为在现状治理的基础上进一步提质增效，促进黄河流域高质量先行区建设，提高区域水土保持能力，改善区域生态环境，促进区域经济可持续发展，制订本实施方案。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一、项目建设基本情况及必要性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大红沟上游项目区位于原州区东北部，为清水河水系右岸一级支流大红沟的上游区，距离固原市区约60km。大红沟上游小流域主要涉及寨科乡新埫1个行政村、5个自然村，总人口428户、1494人，常住人口256户、900人。小流域总面积22.31km2，水土流失面积6.71km2，耕地面积1014.73hm2，人均耕地10.19亩。大红沟上游小流域属黄土丘陵沟壑水蚀区，流域沟道发育，沟道多呈U型，大多数沟道有长流水。流域沟壑密度为2.5km/km2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流域现存的梯田多数田面较窄，宽度不足10m，已不适应我国现代农业发展的形势要求，亟需开展提升治理；流域林草覆盖率仍然较低，荒坡荒沟面积大，现状林地还有部分为疏幼林地 ，自然生态系统脆弱，水源涵养功能较低，入河泥沙量仍然较大，植树造林措施待进一步加强；流域内生产道路网络、村庄排水系统需要进一步完善 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二、目标任务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通过项目建设进一步治理水土流失，改善生态环境，减少入河泥沙；保护耕地资源，提高耕地质量，提升农业综合生产能力；改善农村生产条件和生活环境，显著增强抵御自然灾害的能力，促进农村经济社会发展；进一步保护和建设流域植被，提高流域涵养水源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三、实施内容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本项目规划新增水土流失治理面积10.54平方公里。其中：新增提质增效治理水土流失面积10.54平方公里。其中:发展节水灌溉面积22公顷;营造水土保持林97.30公顷(乔灌混交林 32.07 公顷，灌木林52.24公顷,种植过滤林带3.75公顷，经果林8.71 公顷,行道树 0.47公顷,柠条 0.06公顷);封禁治理934.56公顷。修筑沟头防护工程1处，新建道路排水沟 327.8米、柳坊14座 245米，生产路铺砂5.39公里。配套勾臂式垃圾箱10个，垃圾转运电瓶车1辆。设置项目宣传牌1块，封禁标志牌4块。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四、项目资金安排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该项工程概算总投资502.18万元。其资金来源为2025年中央水利发展资金及整合资金。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五、资金使用要求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严格按照项目资金管理和要求，规范资金兑付程序，资金使用专款专用，严禁截留、挤占和挪用，同时建立公示、公告制，接受社会各界的广泛监督，做到阳光操作，同时加强资金使用的跟踪和检查。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六、建设期限和实施进度安排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(一)建设期限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项目建设期1年，即从2025年6月—2026年6月。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(二)实施进度安排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本项目施工计划到2025年12月完成建设任务的80%，到2026年6月建设任务全部完成。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七、收益对象与利益联结机制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（一）收益对象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该项目区内群众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（二）利益联结机制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该项目实施，增加了群众的就业频次；梯田的改造和增加，提高了土地产量，增加了群众经济收入；生产道路和荒沟荒坡造林等措施的实施，改善了项目区内群众的生产生活条件和生态环境。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 w:firstLineChars="200"/>
        <w:jc w:val="both"/>
        <w:textAlignment w:val="baseline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八、绩效目标</w:t>
      </w:r>
    </w:p>
    <w:p>
      <w:pPr>
        <w:pStyle w:val="11"/>
        <w:numPr>
          <w:ilvl w:val="0"/>
          <w:numId w:val="0"/>
        </w:numPr>
        <w:ind w:right="19" w:rightChars="9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总体目标：新增治理水土流失面积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10.54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平方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公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里；</w:t>
      </w:r>
    </w:p>
    <w:p>
      <w:pPr>
        <w:pStyle w:val="11"/>
        <w:numPr>
          <w:ilvl w:val="0"/>
          <w:numId w:val="0"/>
        </w:numPr>
        <w:ind w:right="1470" w:rightChars="700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质量指标：项目工程验收合格率为100%；</w:t>
      </w:r>
    </w:p>
    <w:p>
      <w:pPr>
        <w:pStyle w:val="11"/>
        <w:numPr>
          <w:ilvl w:val="0"/>
          <w:numId w:val="0"/>
        </w:numPr>
        <w:ind w:right="1470" w:rightChars="700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时效指标：项目工程完成及时率为100%；</w:t>
      </w:r>
    </w:p>
    <w:p>
      <w:pPr>
        <w:pStyle w:val="11"/>
        <w:numPr>
          <w:ilvl w:val="0"/>
          <w:numId w:val="0"/>
        </w:numPr>
        <w:ind w:right="1470" w:rightChars="700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社会效益指标：受益人数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1494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人；</w:t>
      </w:r>
    </w:p>
    <w:p>
      <w:pPr>
        <w:pStyle w:val="11"/>
        <w:numPr>
          <w:ilvl w:val="0"/>
          <w:numId w:val="0"/>
        </w:numPr>
        <w:ind w:right="19" w:rightChars="9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服务对象满意度指标：项目区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群众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满意度为95%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以上</w:t>
      </w:r>
      <w:r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九、项目资产管护运营</w:t>
      </w:r>
    </w:p>
    <w:p>
      <w:pPr>
        <w:pStyle w:val="11"/>
        <w:numPr>
          <w:ilvl w:val="0"/>
          <w:numId w:val="0"/>
        </w:numPr>
        <w:ind w:right="19" w:rightChars="9" w:firstLine="640" w:firstLineChars="200"/>
        <w:rPr>
          <w:rFonts w:hint="default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该项目竣工验收后移交寨科乡新埫村委会管护运营。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十、工作措施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(一)加强组织领导。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原州区水务局作为行业属地主管部门，指定原州区水利工程建设管理站作为项目法人，履行项目建设管理单位职责。原州区水土保持工作站作为项目具体实施单位，负责项目建设日常管理工作。原州区审批局负责审核、批复项目，其它相关质量监督、审计等部门负责对项目工程建设质量、资金使用情况的检查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(二)细化实施方案。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根据国家水土保持重点工程建设的有关要求，本项目执行水土保持基本建设项目有关管理制度。严格推行基本建设项目“四制”管理原则，即执行建设项目法人负责制、项目招投标制、工程施工监理制及项目合同制管理。并积极推行项目公示制，建立健全管理机构，规范监管程序，确保水土流失综合治理工程建设项目的顺利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(三)创新工作机制。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逐步完善绩效考核工作运行机制，落实资金使用效益。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(四)规范项目管理。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1、抓好项目队伍建设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根据工程项目的规模、特点、工期的长短、企业对该工程的期望目标，选择科学的组织结构形式，分工明确，责任到人，使各专业、各部门人员相互了解，定期召开思想交流会，针对施工现场及职工思想动态，及时交流、及时处理，增强团结，提高办事效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收入分配要进行绩效考核，由项目经理牵头，根据每一位员工的工作目标量化分解，每月进行一次考核，考核其工作完成情况，实现按劳分配。同时制订激励约束措施，充分调动每一个人的积极性。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培养知识型的人，项目部全体管理人员不断加强专业知识和管理知识学习，在实践中学习，在学习中实践，将理论与实践相结合，运用技术手段、管理手段、法律手段、经济手段解决各种问题，创造出一套自己的工程项目管理经验，不断提高全体管理人员的专业技术水平和管理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通过文明工地建设，给职工创建一个良好的施工环境，员工之间互帮互助，使大家在工地感受到家的温暖。要以人为本，把职工当作主体，要通过相信人、理解人、尊重人、岗位对、责任明、权利足、激励等措施，激发人的积极性，提高其管理工作效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2、加强质量管理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（1）建立质量保证体系。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项目部在开工前，要根据企业《质量、环境、职业健康安全》管理体系，建立健全吗，项目质量保证体系，确定质量目标，进行目标量化分解，坚持“质量第一，预防为主”的方针和“计划、执行、检查、处理”循环工作方法，不断改进过程控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（2）做好质量计划。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对各个阶段实施有效的控制质量计划对外是质量保证，对内是质量控制的依据，由项目经理主持编制，要体现从工序、分项工程、分部工程到单位工程的过程控制，从资源投入到完成工程质量最终检验和试验的全过程控制。加强技术指导工作，使每道工序都要做到有方案、有措施、有交底，有标准、有要求，把每道工序建成精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（3）质量持续改进。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项目部应分析和评价项目的成绩、需求、优势和不足等管理现状，识别持续改进区域，确定改进目标，实施选定的解决办法，确保质量保证体系的适宜性、充分性和有效性，依赖科学技术的发展，不断提高项目部的质量管理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(五)严格督查考核。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健全完善工作目标管理责任制考核办法，逐级签订目标责任书，靠实责任，确保落实。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(六)严格资金管理。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 xml:space="preserve"> 严格按照项目资金管理和要求，规范项目实施程序，明确验收标准和程序、资金兑付程序； 加强和完善项目资金管理，资金使用专款专用，严禁截留、挤占和挪用，同时建立公示、公告制，接受社会各界的广泛监督，做到阳光操作、公开透明，确保资金使用的规范性和财务制度的健全性，同时加强资金使用的跟踪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/>
          <w:bCs/>
          <w:caps w:val="0"/>
          <w:snapToGrid/>
          <w:color w:val="404040"/>
          <w:spacing w:val="0"/>
          <w:kern w:val="2"/>
          <w:sz w:val="32"/>
          <w:szCs w:val="32"/>
          <w:lang w:val="en-US" w:eastAsia="zh-CN" w:bidi="ar-SA"/>
        </w:rPr>
        <w:t>十一、附件：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原州区2025年大红沟上游项目区小流域（北洼片区）综合治理提质增效项目投资概算表</w:t>
      </w:r>
    </w:p>
    <w:p>
      <w:pPr>
        <w:spacing w:before="181" w:line="220" w:lineRule="auto"/>
        <w:ind w:left="51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</w:pPr>
    </w:p>
    <w:p>
      <w:pPr>
        <w:spacing w:line="243" w:lineRule="auto"/>
        <w:rPr>
          <w:rFonts w:ascii="Arial"/>
          <w:sz w:val="21"/>
          <w:highlight w:val="yellow"/>
        </w:rPr>
      </w:pPr>
    </w:p>
    <w:p>
      <w:pPr>
        <w:spacing w:line="243" w:lineRule="auto"/>
        <w:rPr>
          <w:rFonts w:ascii="Arial"/>
          <w:sz w:val="21"/>
          <w:highlight w:val="yellow"/>
        </w:rPr>
      </w:pPr>
    </w:p>
    <w:p>
      <w:pPr>
        <w:pStyle w:val="11"/>
        <w:rPr>
          <w:highlight w:val="yellow"/>
        </w:rPr>
      </w:pPr>
    </w:p>
    <w:p>
      <w:pPr>
        <w:spacing w:line="243" w:lineRule="auto"/>
        <w:rPr>
          <w:rFonts w:ascii="Arial"/>
          <w:sz w:val="21"/>
          <w:highlight w:val="yello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固原市原州区水务局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aps w:val="0"/>
          <w:snapToGrid/>
          <w:color w:val="404040"/>
          <w:spacing w:val="0"/>
          <w:kern w:val="2"/>
          <w:sz w:val="32"/>
          <w:szCs w:val="32"/>
          <w:highlight w:val="none"/>
          <w:lang w:val="en-US" w:eastAsia="zh-CN" w:bidi="ar-SA"/>
        </w:rPr>
        <w:t>2025年5月8日</w:t>
      </w:r>
      <w:bookmarkStart w:id="0" w:name="_GoBack"/>
      <w:bookmarkEnd w:id="0"/>
    </w:p>
    <w:p>
      <w:pPr>
        <w:tabs>
          <w:tab w:val="left" w:pos="839"/>
        </w:tabs>
        <w:bidi w:val="0"/>
        <w:jc w:val="left"/>
        <w:rPr>
          <w:rFonts w:hint="default"/>
          <w:lang w:val="en-US" w:eastAsia="zh-CN"/>
        </w:rPr>
      </w:pPr>
    </w:p>
    <w:sectPr>
      <w:pgSz w:w="11900" w:h="16832"/>
      <w:pgMar w:top="1417" w:right="1474" w:bottom="1417" w:left="1587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213D0"/>
    <w:multiLevelType w:val="multilevel"/>
    <w:tmpl w:val="D86213D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Y3ZGY5MzEyZDQxNWQ3MTMyMjhhZDgwY2Q5NDBmNTkifQ=="/>
  </w:docVars>
  <w:rsids>
    <w:rsidRoot w:val="00000000"/>
    <w:rsid w:val="001263EC"/>
    <w:rsid w:val="02451A4C"/>
    <w:rsid w:val="024A13A5"/>
    <w:rsid w:val="03771379"/>
    <w:rsid w:val="05971F55"/>
    <w:rsid w:val="05AD113B"/>
    <w:rsid w:val="07A33243"/>
    <w:rsid w:val="083C30F8"/>
    <w:rsid w:val="08F17FDE"/>
    <w:rsid w:val="095511AC"/>
    <w:rsid w:val="097A4E1C"/>
    <w:rsid w:val="0A5847B8"/>
    <w:rsid w:val="0AF71C88"/>
    <w:rsid w:val="0E567261"/>
    <w:rsid w:val="0EBE0962"/>
    <w:rsid w:val="10525D0F"/>
    <w:rsid w:val="15634662"/>
    <w:rsid w:val="17471E3D"/>
    <w:rsid w:val="1D271DC8"/>
    <w:rsid w:val="1FCF11BE"/>
    <w:rsid w:val="22AB7554"/>
    <w:rsid w:val="236E03B0"/>
    <w:rsid w:val="23BF4E84"/>
    <w:rsid w:val="24DB72CA"/>
    <w:rsid w:val="2641214D"/>
    <w:rsid w:val="27FD5F57"/>
    <w:rsid w:val="2B035C23"/>
    <w:rsid w:val="2B59575B"/>
    <w:rsid w:val="2FFFAD20"/>
    <w:rsid w:val="33576275"/>
    <w:rsid w:val="336F4CC6"/>
    <w:rsid w:val="35537B93"/>
    <w:rsid w:val="36907168"/>
    <w:rsid w:val="376A2040"/>
    <w:rsid w:val="399565E0"/>
    <w:rsid w:val="3BEE1A6D"/>
    <w:rsid w:val="3DF7694D"/>
    <w:rsid w:val="3DFE9F0F"/>
    <w:rsid w:val="3E5F36F1"/>
    <w:rsid w:val="3EBDC975"/>
    <w:rsid w:val="3EFF35B4"/>
    <w:rsid w:val="3FF720A9"/>
    <w:rsid w:val="3FF99F00"/>
    <w:rsid w:val="41894C7C"/>
    <w:rsid w:val="46BCFB39"/>
    <w:rsid w:val="46E464B1"/>
    <w:rsid w:val="47A0687C"/>
    <w:rsid w:val="49AA155B"/>
    <w:rsid w:val="4BAF082C"/>
    <w:rsid w:val="4D3704C0"/>
    <w:rsid w:val="4E944C60"/>
    <w:rsid w:val="4FF1FA84"/>
    <w:rsid w:val="4FF6905C"/>
    <w:rsid w:val="4FFBFF14"/>
    <w:rsid w:val="4FFDA2F9"/>
    <w:rsid w:val="55AF14EE"/>
    <w:rsid w:val="55BB4A8F"/>
    <w:rsid w:val="56285557"/>
    <w:rsid w:val="573F0049"/>
    <w:rsid w:val="57CA9377"/>
    <w:rsid w:val="59D95EE7"/>
    <w:rsid w:val="59FF35B4"/>
    <w:rsid w:val="5A04713E"/>
    <w:rsid w:val="5A76CB53"/>
    <w:rsid w:val="5A7FBBD2"/>
    <w:rsid w:val="5AF7C020"/>
    <w:rsid w:val="5CD34BA6"/>
    <w:rsid w:val="5EAC0EB1"/>
    <w:rsid w:val="5EEBA39B"/>
    <w:rsid w:val="5F6E9CFD"/>
    <w:rsid w:val="5FBE568E"/>
    <w:rsid w:val="5FDE7025"/>
    <w:rsid w:val="62EA5256"/>
    <w:rsid w:val="633345F0"/>
    <w:rsid w:val="63FE3DE4"/>
    <w:rsid w:val="64D61BED"/>
    <w:rsid w:val="66FE3EF0"/>
    <w:rsid w:val="685079F2"/>
    <w:rsid w:val="68701E42"/>
    <w:rsid w:val="6AFFC351"/>
    <w:rsid w:val="6BFE3BA3"/>
    <w:rsid w:val="6C296590"/>
    <w:rsid w:val="6CC30793"/>
    <w:rsid w:val="6F7E6BF3"/>
    <w:rsid w:val="6FF86512"/>
    <w:rsid w:val="6FFF86D9"/>
    <w:rsid w:val="6FFFBF3D"/>
    <w:rsid w:val="71706A0F"/>
    <w:rsid w:val="730641F5"/>
    <w:rsid w:val="761E0A26"/>
    <w:rsid w:val="76913123"/>
    <w:rsid w:val="76DBBC30"/>
    <w:rsid w:val="76F664E4"/>
    <w:rsid w:val="7736E1B7"/>
    <w:rsid w:val="78811502"/>
    <w:rsid w:val="78EFCD51"/>
    <w:rsid w:val="79FE8A78"/>
    <w:rsid w:val="7A4E41D9"/>
    <w:rsid w:val="7AFE1C2F"/>
    <w:rsid w:val="7B5D0A3C"/>
    <w:rsid w:val="7BB7A75C"/>
    <w:rsid w:val="7BCF93F6"/>
    <w:rsid w:val="7BFA3AA5"/>
    <w:rsid w:val="7BFDA9ED"/>
    <w:rsid w:val="7BFFC687"/>
    <w:rsid w:val="7C7252FD"/>
    <w:rsid w:val="7D95251F"/>
    <w:rsid w:val="7DEFAD61"/>
    <w:rsid w:val="7E155FF5"/>
    <w:rsid w:val="7EDF7E5E"/>
    <w:rsid w:val="7F0FFABA"/>
    <w:rsid w:val="7F3F31F6"/>
    <w:rsid w:val="7F743CE4"/>
    <w:rsid w:val="7FB73177"/>
    <w:rsid w:val="7FBDB46B"/>
    <w:rsid w:val="7FC7CA89"/>
    <w:rsid w:val="7FCFFDFB"/>
    <w:rsid w:val="7FE74A35"/>
    <w:rsid w:val="7FF7715A"/>
    <w:rsid w:val="7FFEC4DA"/>
    <w:rsid w:val="8F651F69"/>
    <w:rsid w:val="9EDFA36C"/>
    <w:rsid w:val="A6F74455"/>
    <w:rsid w:val="A95F996B"/>
    <w:rsid w:val="AFBF1EC1"/>
    <w:rsid w:val="BBEF5D48"/>
    <w:rsid w:val="BDFE0293"/>
    <w:rsid w:val="BE6BAD9C"/>
    <w:rsid w:val="BF3F9845"/>
    <w:rsid w:val="CBDA3F50"/>
    <w:rsid w:val="CFF7CC75"/>
    <w:rsid w:val="D5FDD3F1"/>
    <w:rsid w:val="D9F5F2C0"/>
    <w:rsid w:val="DCF6503C"/>
    <w:rsid w:val="DF7E0744"/>
    <w:rsid w:val="DFFFC8A2"/>
    <w:rsid w:val="E3417CD1"/>
    <w:rsid w:val="E57FDB5D"/>
    <w:rsid w:val="E6F8B213"/>
    <w:rsid w:val="E76EC413"/>
    <w:rsid w:val="E7FA779D"/>
    <w:rsid w:val="E8E701BB"/>
    <w:rsid w:val="E9FFF120"/>
    <w:rsid w:val="EB9907A2"/>
    <w:rsid w:val="EBF628DF"/>
    <w:rsid w:val="EC39A283"/>
    <w:rsid w:val="EDFE3C29"/>
    <w:rsid w:val="EDFF4056"/>
    <w:rsid w:val="EEEAAF5F"/>
    <w:rsid w:val="EFBA6C4D"/>
    <w:rsid w:val="EFE79179"/>
    <w:rsid w:val="F1BFB256"/>
    <w:rsid w:val="F3F8733F"/>
    <w:rsid w:val="F66F5AE5"/>
    <w:rsid w:val="F6FF9F85"/>
    <w:rsid w:val="F79D67C1"/>
    <w:rsid w:val="F7FC25A1"/>
    <w:rsid w:val="F7FD103F"/>
    <w:rsid w:val="F95FFAAB"/>
    <w:rsid w:val="FA3D3876"/>
    <w:rsid w:val="FB5D96C4"/>
    <w:rsid w:val="FBBF433D"/>
    <w:rsid w:val="FBFFE14D"/>
    <w:rsid w:val="FCBFD6BE"/>
    <w:rsid w:val="FCC5946D"/>
    <w:rsid w:val="FD9BBE62"/>
    <w:rsid w:val="FDCFF12F"/>
    <w:rsid w:val="FDF986A2"/>
    <w:rsid w:val="FE7E320B"/>
    <w:rsid w:val="FEDE6378"/>
    <w:rsid w:val="FEFF3727"/>
    <w:rsid w:val="FF3ECAB2"/>
    <w:rsid w:val="FF7D8784"/>
    <w:rsid w:val="FF7F1CD3"/>
    <w:rsid w:val="FFDEB263"/>
    <w:rsid w:val="FFFB2080"/>
    <w:rsid w:val="FFFECC5A"/>
    <w:rsid w:val="FFFF1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6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7">
    <w:name w:val="heading 6"/>
    <w:next w:val="1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8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8"/>
    <w:next w:val="1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0">
    <w:name w:val="heading 9"/>
    <w:next w:val="1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2">
    <w:name w:val="toc 4"/>
    <w:basedOn w:val="1"/>
    <w:next w:val="1"/>
    <w:semiHidden/>
    <w:qFormat/>
    <w:uiPriority w:val="39"/>
    <w:pPr>
      <w:ind w:left="630"/>
    </w:pPr>
    <w:rPr>
      <w:sz w:val="18"/>
      <w:szCs w:val="21"/>
    </w:rPr>
  </w:style>
  <w:style w:type="paragraph" w:styleId="13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basedOn w:val="1"/>
    <w:qFormat/>
    <w:uiPriority w:val="10"/>
    <w:pPr>
      <w:spacing w:line="240" w:lineRule="auto"/>
      <w:ind w:firstLine="0" w:firstLineChars="0"/>
      <w:jc w:val="center"/>
      <w:outlineLvl w:val="0"/>
    </w:pPr>
    <w:rPr>
      <w:rFonts w:asciiTheme="majorEastAsia" w:hAnsiTheme="majorEastAsia"/>
      <w:b/>
      <w:sz w:val="52"/>
      <w:szCs w:val="44"/>
    </w:rPr>
  </w:style>
  <w:style w:type="character" w:styleId="18">
    <w:name w:val="Strong"/>
    <w:basedOn w:val="17"/>
    <w:qFormat/>
    <w:uiPriority w:val="22"/>
    <w:rPr>
      <w:rFonts w:ascii="Arial" w:hAnsi="Arial" w:eastAsia="黑体"/>
      <w:b/>
      <w:color w:val="auto"/>
      <w:u w:val="single"/>
    </w:rPr>
  </w:style>
  <w:style w:type="character" w:styleId="19">
    <w:name w:val="Emphasis"/>
    <w:basedOn w:val="17"/>
    <w:qFormat/>
    <w:uiPriority w:val="20"/>
    <w:rPr>
      <w:rFonts w:ascii="Arial" w:hAnsi="Arial" w:eastAsia="黑体"/>
      <w:b/>
      <w:bCs/>
      <w:i/>
      <w:color w:val="auto"/>
      <w:sz w:val="24"/>
      <w:szCs w:val="22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Char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1</TotalTime>
  <ScaleCrop>false</ScaleCrop>
  <LinksUpToDate>false</LinksUpToDate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2023-09-10T01:54:00Z</dcterms:created>
  <dc:creator>Kingsoft-PDF</dc:creator>
  <cp:lastModifiedBy>unis</cp:lastModifiedBy>
  <cp:lastPrinted>2025-09-20T00:26:00Z</cp:lastPrinted>
  <dcterms:modified xsi:type="dcterms:W3CDTF">2025-09-19T17:04:48Z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2023-09-09T09:54:28Z</vt:filetime>
  </property>
  <property fmtid="{D5CDD505-2E9C-101B-9397-08002B2CF9AE}" pid="4" name="UsrData">
    <vt:lpwstr>64fbd050eb3e80001f21c4d7wl</vt:lpwstr>
  </property>
  <property fmtid="{D5CDD505-2E9C-101B-9397-08002B2CF9AE}" pid="5" name="KSOProductBuildVer">
    <vt:lpwstr>2052-12.8.2.15209</vt:lpwstr>
  </property>
  <property fmtid="{D5CDD505-2E9C-101B-9397-08002B2CF9AE}" pid="6" name="ICV">
    <vt:lpwstr>F01E9218D3B268AAC315CD6814E14318_43</vt:lpwstr>
  </property>
</Properties>
</file>