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E4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附件17：</w:t>
      </w:r>
    </w:p>
    <w:p w14:paraId="4C783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2025年“三个零”技术示范推广项目</w:t>
      </w:r>
    </w:p>
    <w:p w14:paraId="4112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绩效自评报告</w:t>
      </w:r>
    </w:p>
    <w:p w14:paraId="3D82D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FBE3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为加强财政资金支出管理，优化财政支出结构，逐步探索和建立科学、高效的财政支出绩效评价机制，提高财政资金使用效益和效率，我单位对该项目进行了绩效自评，现将自评情况汇报如下：</w:t>
      </w:r>
    </w:p>
    <w:p w14:paraId="76ADA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 w:bidi="ar-SA"/>
        </w:rPr>
        <w:t xml:space="preserve">    一、绩效目标分解下达情况</w:t>
      </w:r>
    </w:p>
    <w:p w14:paraId="1034F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（一）下达预算</w:t>
      </w:r>
      <w:r>
        <w:rPr>
          <w:rFonts w:hint="eastAsia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及项目</w:t>
      </w:r>
      <w:r>
        <w:rPr>
          <w:rFonts w:hint="default" w:ascii="Times New Roman" w:hAnsi="Times New Roman" w:eastAsia="楷体_GB2312" w:cs="Times New Roman"/>
          <w:b/>
          <w:snapToGrid/>
          <w:color w:val="auto"/>
          <w:kern w:val="0"/>
          <w:sz w:val="32"/>
          <w:szCs w:val="32"/>
          <w:lang w:val="en-US" w:eastAsia="zh-CN" w:bidi="ar-SA"/>
        </w:rPr>
        <w:t>情况</w:t>
      </w:r>
    </w:p>
    <w:p w14:paraId="608CC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16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下达预算：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根据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宁夏回族自治区农业农村厅《关于提前下达2025年中央和自治区第一批财政支农项目计划的通知》（宁农（计）发〔2025〕16号）文件、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《原州区202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年统筹整合使用财政涉农资金（年初）实施方案》的通知（原党农发〔202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〕2号）及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《关于印发&lt;原州区202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年统筹整合使用财政涉农资金（年终调整）实施方案&gt;的通知》（原党农发〔202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〕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号）文件精神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下达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总资金70.1万元，其中：自治区财政资金20万元，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整合项目资金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50.1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万元。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</w:t>
      </w:r>
    </w:p>
    <w:p w14:paraId="7BC12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（二）项目绩效目标设定情况</w:t>
      </w:r>
    </w:p>
    <w:p w14:paraId="12F62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项目总目标</w:t>
      </w:r>
    </w:p>
    <w:p w14:paraId="742AE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根据2025年项目资金绩效指标体系，2025年蔬菜绿色高质高效技术示范推广项目绩效指标为三级指标设定；项目年度预算绩效总目标：推广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6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三个零”绿色种植技术示范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亩（其中：露地蔬菜“三个零”技术示范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401亩，设施蔬菜“三个零”技术示范</w:t>
      </w:r>
      <w:r>
        <w:rPr>
          <w:rFonts w:hint="eastAsia" w:ascii="仿宋_GB2312" w:hAnsi="仿宋_GB2312"/>
          <w:kern w:val="0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55亩）</w:t>
      </w:r>
      <w:r>
        <w:rPr>
          <w:rFonts w:hint="eastAsia" w:ascii="仿宋_GB2312" w:hAnsi="仿宋_GB2312"/>
          <w:kern w:val="0"/>
          <w:sz w:val="32"/>
          <w:szCs w:val="32"/>
          <w:lang w:val="en-US" w:eastAsia="zh-CN"/>
        </w:rPr>
        <w:t>。</w:t>
      </w:r>
    </w:p>
    <w:p w14:paraId="54F5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绩效指标</w:t>
      </w:r>
    </w:p>
    <w:p w14:paraId="1BC80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1、产出指标：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包括数量指标、质量指标、时效指标和成本指标。</w:t>
      </w:r>
    </w:p>
    <w:p w14:paraId="4C18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（1）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数量指标：推广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6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三个零”绿色种植技术示范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亩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178B8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（2）质量指标：项目完成质量合格率（≥100%）。</w:t>
      </w:r>
    </w:p>
    <w:p w14:paraId="0ED70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（3）时效指标：项目完成时间≦2025年12月。</w:t>
      </w:r>
    </w:p>
    <w:p w14:paraId="7F68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）成本指标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投入项目资金成本控制在成本批复概算内，不超过当年概算总投资≦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70.1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万元。</w:t>
      </w:r>
    </w:p>
    <w:p w14:paraId="56C02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2、效益指标：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包括经济效益指标、社会效益指标、生态效益指标及可持续影响指标。</w:t>
      </w:r>
    </w:p>
    <w:p w14:paraId="48CFB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（1）经济效益指标：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个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零”属于高品质、安全健康的农产品，在市场上具有明显的品牌优势和价格优势。相较于常规蔬菜，其售价通常可高出30%-50%甚至更多，提高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蔬菜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收入。</w:t>
      </w:r>
    </w:p>
    <w:p w14:paraId="47168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（2）社会效益指标：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个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零”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绿色生产技术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通过技术培训，带动周边农户掌握绿色生产技术，带动周边农户就业。</w:t>
      </w:r>
    </w:p>
    <w:p w14:paraId="04D6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（3）生态效益指标：改善土壤质量与地力，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长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期施用有机肥能显著增加土壤有机质含量，改善土壤团粒结构，提高保水保肥能力，扭转因过量使用化肥导致的土壤板结、酸化等问题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cs="Times New Roman"/>
          <w:szCs w:val="32"/>
          <w:highlight w:val="none"/>
          <w:lang w:val="en-US" w:eastAsia="zh-CN"/>
        </w:rPr>
        <w:t>具有显著的生态效益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2DECC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（4）可持续影响指标：培育健康、有活力的土壤和生态系统，使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蔬菜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生产对干旱、病虫害等胁迫的抵抗力更强，降低了因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市场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波动带来的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生产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风险，保障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蔬菜高品质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产出。</w:t>
      </w:r>
    </w:p>
    <w:p w14:paraId="39B2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3、满意度指标：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项目区企业、农户调查满意度≥95%。</w:t>
      </w:r>
    </w:p>
    <w:p w14:paraId="2239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  <w:t>、绩效目标完成情况分析</w:t>
      </w:r>
    </w:p>
    <w:p w14:paraId="70D40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（一）资金投入情况分析。</w:t>
      </w:r>
    </w:p>
    <w:p w14:paraId="2BF6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1、项目资金到位情况分析</w:t>
      </w:r>
    </w:p>
    <w:p w14:paraId="599B8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该项目全年预算资金70.1万元，</w:t>
      </w:r>
      <w:r>
        <w:rPr>
          <w:rFonts w:hint="eastAsia" w:ascii="仿宋_GB2312"/>
          <w:szCs w:val="32"/>
        </w:rPr>
        <w:t>项目</w:t>
      </w:r>
      <w:r>
        <w:rPr>
          <w:rFonts w:hint="eastAsia" w:ascii="仿宋_GB2312"/>
          <w:szCs w:val="32"/>
          <w:lang w:eastAsia="zh-CN"/>
        </w:rPr>
        <w:t>资金到位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70.1</w:t>
      </w:r>
      <w:r>
        <w:rPr>
          <w:rFonts w:hint="eastAsia" w:ascii="仿宋_GB2312"/>
          <w:szCs w:val="32"/>
        </w:rPr>
        <w:t>万元</w:t>
      </w:r>
      <w:r>
        <w:rPr>
          <w:rFonts w:hint="eastAsia" w:ascii="仿宋_GB2312"/>
          <w:szCs w:val="32"/>
          <w:lang w:eastAsia="zh-CN"/>
        </w:rPr>
        <w:t>，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其中：自治区财政资金20万元，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整合项目资金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50.1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万元。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  <w:t>资金到位率100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%。</w:t>
      </w:r>
    </w:p>
    <w:p w14:paraId="538F5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2、项目资金执行情况分析</w:t>
      </w:r>
    </w:p>
    <w:p w14:paraId="26B6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color w:val="auto"/>
          <w:w w:val="100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项目全年预算</w:t>
      </w:r>
      <w:r>
        <w:rPr>
          <w:rFonts w:hint="eastAsia" w:ascii="仿宋_GB2312" w:hAnsi="仿宋"/>
          <w:sz w:val="32"/>
          <w:szCs w:val="32"/>
          <w:lang w:val="en-US" w:eastAsia="zh-CN"/>
        </w:rPr>
        <w:t>70.1万元，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</w:rPr>
        <w:t>项目全年</w:t>
      </w:r>
      <w:r>
        <w:rPr>
          <w:rFonts w:hint="eastAsia" w:ascii="仿宋_GB2312" w:hAnsi="仿宋_GB2312" w:cs="仿宋_GB2312"/>
          <w:color w:val="auto"/>
          <w:w w:val="100"/>
          <w:sz w:val="32"/>
          <w:szCs w:val="32"/>
          <w:lang w:eastAsia="zh-CN"/>
        </w:rPr>
        <w:t>支付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70.1</w:t>
      </w:r>
      <w:r>
        <w:rPr>
          <w:rFonts w:hint="eastAsia" w:ascii="仿宋_GB2312"/>
          <w:szCs w:val="32"/>
          <w:highlight w:val="none"/>
        </w:rPr>
        <w:t>万元</w:t>
      </w:r>
      <w:r>
        <w:rPr>
          <w:rFonts w:hint="eastAsia" w:ascii="仿宋_GB2312"/>
          <w:szCs w:val="32"/>
          <w:highlight w:val="none"/>
          <w:lang w:eastAsia="zh-CN"/>
        </w:rPr>
        <w:t>，</w:t>
      </w:r>
      <w:r>
        <w:rPr>
          <w:rFonts w:hint="eastAsia" w:ascii="仿宋_GB2312"/>
          <w:szCs w:val="32"/>
          <w:highlight w:val="none"/>
        </w:rPr>
        <w:t>执行率</w:t>
      </w:r>
      <w:r>
        <w:rPr>
          <w:rFonts w:hint="eastAsia" w:ascii="仿宋_GB2312"/>
          <w:szCs w:val="32"/>
          <w:highlight w:val="none"/>
          <w:lang w:val="en-US" w:eastAsia="zh-CN"/>
        </w:rPr>
        <w:t>100</w:t>
      </w:r>
      <w:r>
        <w:rPr>
          <w:rFonts w:hint="eastAsia" w:ascii="仿宋_GB2312"/>
          <w:szCs w:val="32"/>
          <w:highlight w:val="none"/>
        </w:rPr>
        <w:t>%，项目资金全年执行率较高，资金执行情况良好。</w:t>
      </w:r>
    </w:p>
    <w:p w14:paraId="47F3A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资金管理情况分析</w:t>
      </w:r>
    </w:p>
    <w:p w14:paraId="46834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cs="Times New Roman"/>
          <w:szCs w:val="32"/>
          <w:highlight w:val="none"/>
          <w:lang w:val="en-US" w:eastAsia="zh-CN"/>
        </w:rPr>
        <w:t>根据中共原州区委办公室、区人民政府办公室《关于印发〈固原市原州区2025年农业产业高质量发展实施方案〉的通知》（原党办〔2025〕13号）的精神，切实加强项目资金管理。</w:t>
      </w: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二是</w:t>
      </w:r>
      <w:r>
        <w:rPr>
          <w:rFonts w:hint="eastAsia" w:ascii="仿宋_GB2312" w:cs="Times New Roman"/>
          <w:szCs w:val="32"/>
          <w:highlight w:val="none"/>
          <w:lang w:val="en-US" w:eastAsia="zh-CN"/>
        </w:rPr>
        <w:t>制定了《农业项目实施管理办法》《项目实施流程与资料管理制度》和《财务管理制度》，按照“1会、4审、2签”资金支付流程管理，1会即中心领导班子会议通过后支付；4审即经办人—财务负责人—项目负责人—单位负责人逐级审核通过后支付；2签即2名经手人和2名财务审签人签字通过后支付。</w:t>
      </w:r>
      <w:r>
        <w:rPr>
          <w:rFonts w:hint="eastAsia" w:ascii="仿宋_GB2312" w:cs="Times New Roman"/>
          <w:b/>
          <w:bCs/>
          <w:szCs w:val="32"/>
          <w:highlight w:val="none"/>
          <w:lang w:val="en-US" w:eastAsia="zh-CN"/>
        </w:rPr>
        <w:t>三是</w:t>
      </w:r>
      <w:r>
        <w:rPr>
          <w:rFonts w:hint="eastAsia" w:ascii="仿宋_GB2312" w:cs="Times New Roman"/>
          <w:szCs w:val="32"/>
          <w:highlight w:val="none"/>
          <w:lang w:val="en-US" w:eastAsia="zh-CN"/>
        </w:rPr>
        <w:t>严格按照财务管理要求，资金支付具备批复文件、采购资料、验收资料、物资发放资料等附件齐全方可支付，切实完善财务管理和资金使用管理制度。综上所述，项目财务制度健全，制度执行严谨，管理程序规范、合法，资金拨付手续完整、有效。</w:t>
      </w:r>
    </w:p>
    <w:p w14:paraId="59654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snapToGrid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snapToGrid/>
          <w:color w:val="auto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楷体_GB2312" w:hAnsi="楷体_GB2312" w:eastAsia="楷体_GB2312" w:cs="楷体_GB2312"/>
          <w:b/>
          <w:snapToGrid/>
          <w:color w:val="auto"/>
          <w:kern w:val="0"/>
          <w:sz w:val="32"/>
          <w:szCs w:val="32"/>
          <w:lang w:val="en-US" w:eastAsia="zh-CN" w:bidi="ar-SA"/>
        </w:rPr>
        <w:t>总体绩效目标完成情况分析</w:t>
      </w:r>
    </w:p>
    <w:p w14:paraId="18EBF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cs="Times New Roman"/>
          <w:szCs w:val="32"/>
          <w:highlight w:val="none"/>
          <w:lang w:val="en-US" w:eastAsia="zh-CN"/>
        </w:rPr>
      </w:pP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完成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6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三个零”绿色种植技术示范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亩（其中：露地蔬菜“三个零”技术示范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401亩，设施蔬菜“三个零”技术示范</w:t>
      </w:r>
      <w:r>
        <w:rPr>
          <w:rFonts w:hint="eastAsia" w:ascii="仿宋_GB2312" w:hAnsi="仿宋_GB2312"/>
          <w:kern w:val="0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55亩）</w:t>
      </w:r>
      <w:r>
        <w:rPr>
          <w:rFonts w:hint="eastAsia" w:ascii="仿宋_GB2312" w:hAnsi="仿宋_GB2312"/>
          <w:kern w:val="0"/>
          <w:sz w:val="32"/>
          <w:szCs w:val="32"/>
          <w:lang w:val="en-US" w:eastAsia="zh-CN"/>
        </w:rPr>
        <w:t>，总体绩效目标完成率100%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5ADAD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napToGrid/>
          <w:color w:val="auto"/>
          <w:kern w:val="0"/>
          <w:sz w:val="32"/>
          <w:szCs w:val="32"/>
          <w:lang w:val="en-US" w:eastAsia="zh-CN" w:bidi="ar-SA"/>
        </w:rPr>
        <w:t>（四）</w:t>
      </w:r>
      <w:r>
        <w:rPr>
          <w:rFonts w:hint="default" w:ascii="楷体_GB2312" w:hAnsi="楷体_GB2312" w:eastAsia="楷体_GB2312" w:cs="楷体_GB2312"/>
          <w:b/>
          <w:snapToGrid/>
          <w:color w:val="auto"/>
          <w:kern w:val="0"/>
          <w:sz w:val="32"/>
          <w:szCs w:val="32"/>
          <w:lang w:val="en-US" w:eastAsia="zh-CN" w:bidi="ar-SA"/>
        </w:rPr>
        <w:t>绩效指标完成情况分析。</w:t>
      </w:r>
    </w:p>
    <w:p w14:paraId="39D2D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 w:val="0"/>
          <w:bCs w:val="0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 w:val="0"/>
          <w:bCs w:val="0"/>
          <w:szCs w:val="32"/>
          <w:highlight w:val="none"/>
          <w:lang w:val="en-US" w:eastAsia="zh-CN"/>
        </w:rPr>
        <w:t>1、产出指标完成情况分析</w:t>
      </w:r>
    </w:p>
    <w:p w14:paraId="4F4F9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（1）数量指标</w:t>
      </w:r>
    </w:p>
    <w:p w14:paraId="7C92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推广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6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三个零”绿色种植技术示范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亩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23E21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（2）质量指标</w:t>
      </w:r>
    </w:p>
    <w:p w14:paraId="54A5F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组织自验和县级验收，种植标准化程度符合建设项目方案要求，质量合格率100%，质量达标率100%。</w:t>
      </w:r>
    </w:p>
    <w:p w14:paraId="73ED3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（3）时效指标</w:t>
      </w:r>
    </w:p>
    <w:p w14:paraId="66485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default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项目于2025年12月底完成。</w:t>
      </w:r>
    </w:p>
    <w:p w14:paraId="77B5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 w:val="0"/>
          <w:bCs w:val="0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 w:val="0"/>
          <w:bCs w:val="0"/>
          <w:szCs w:val="32"/>
          <w:highlight w:val="none"/>
          <w:lang w:val="en-US" w:eastAsia="zh-CN"/>
        </w:rPr>
        <w:t>2、效益指标完成情况分析</w:t>
      </w:r>
    </w:p>
    <w:p w14:paraId="5011D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（1）经济效益分析</w:t>
      </w:r>
    </w:p>
    <w:p w14:paraId="4E42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项目实施后，推广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6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三个零”绿色种植技术</w:t>
      </w:r>
      <w:r>
        <w:rPr>
          <w:rFonts w:hint="eastAsia" w:ascii="仿宋_GB2312" w:cs="Times New Roman"/>
          <w:szCs w:val="32"/>
          <w:highlight w:val="none"/>
          <w:lang w:val="en-US" w:eastAsia="zh-CN"/>
        </w:rPr>
        <w:t>，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个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零”属于高品质、安全健康的农产品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在市场上具有明显的品牌优势和价格优势。相较于常规蔬菜，其售价通常可高出30%-50%甚至更多，提高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蔬菜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收入</w:t>
      </w:r>
      <w:r>
        <w:rPr>
          <w:rFonts w:hint="eastAsia" w:ascii="仿宋_GB2312" w:cs="Times New Roman"/>
          <w:szCs w:val="32"/>
          <w:highlight w:val="none"/>
          <w:lang w:val="en-US" w:eastAsia="zh-CN"/>
        </w:rPr>
        <w:t>。</w:t>
      </w:r>
    </w:p>
    <w:p w14:paraId="7C92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（2）社会效益分析</w:t>
      </w:r>
    </w:p>
    <w:p w14:paraId="71627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通过推广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个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零”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绿色生产技术，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带动周边农户掌握绿色生产技术，带动周边农户就业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cs="Times New Roman"/>
          <w:szCs w:val="32"/>
          <w:highlight w:val="none"/>
          <w:lang w:val="en-US" w:eastAsia="zh-CN"/>
        </w:rPr>
        <w:t>充分发挥科技示范辐射带动作用，社会效益良好。</w:t>
      </w:r>
    </w:p>
    <w:p w14:paraId="7E73A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（3）生态效益分析</w:t>
      </w:r>
    </w:p>
    <w:p w14:paraId="087ED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通过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改善土壤质量与地力，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长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期施用有机肥能显著增加土壤有机质含量，改善土壤团粒结构，提高保水保肥能力，扭转因过量使用化肥导致的土壤板结、酸化等问题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cs="Times New Roman"/>
          <w:szCs w:val="32"/>
          <w:highlight w:val="none"/>
          <w:lang w:val="en-US" w:eastAsia="zh-CN"/>
        </w:rPr>
        <w:t>具有显著的生态效益。</w:t>
      </w:r>
    </w:p>
    <w:p w14:paraId="0E89E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（4）可持续影响分析</w:t>
      </w:r>
    </w:p>
    <w:p w14:paraId="1144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该项目的实施，推广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个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零”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绿色生产技术，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培育健康、有活力的土壤和生态系统，使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蔬菜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生产对干旱、病虫害等胁迫的抵抗力更强，降低了因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市场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波动带来的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生产</w:t>
      </w:r>
      <w:r>
        <w:rPr>
          <w:rStyle w:val="1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风险</w:t>
      </w:r>
      <w:r>
        <w:rPr>
          <w:rStyle w:val="16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仿宋_GB2312" w:cs="Times New Roman"/>
          <w:szCs w:val="32"/>
          <w:highlight w:val="none"/>
          <w:lang w:val="en-US" w:eastAsia="zh-CN"/>
        </w:rPr>
        <w:t>全面提高蔬菜品质，推动我区蔬菜产业高质量发展，由增产向提质导向转变，促进农民增收，加快脱贫致富步伐。</w:t>
      </w:r>
    </w:p>
    <w:p w14:paraId="70F15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 w:val="0"/>
          <w:bCs w:val="0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cs="Times New Roman"/>
          <w:b w:val="0"/>
          <w:bCs w:val="0"/>
          <w:szCs w:val="32"/>
          <w:highlight w:val="none"/>
          <w:lang w:val="en-US" w:eastAsia="zh-CN"/>
        </w:rPr>
        <w:t>3、</w:t>
      </w:r>
      <w:bookmarkEnd w:id="0"/>
      <w:r>
        <w:rPr>
          <w:rFonts w:hint="eastAsia" w:ascii="仿宋_GB2312" w:cs="Times New Roman"/>
          <w:b w:val="0"/>
          <w:bCs w:val="0"/>
          <w:szCs w:val="32"/>
          <w:highlight w:val="none"/>
          <w:lang w:val="en-US" w:eastAsia="zh-CN"/>
        </w:rPr>
        <w:t>满意度指标完成情况</w:t>
      </w:r>
    </w:p>
    <w:p w14:paraId="25F18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满意度指标完成情况采取社会调查的方式，从完成的项目整体质量、效益、技术服务等几个方面，走访项目区农户、观摩对象进行满意度调查、评价。通过走访调查，项目区农户对项目效果满意度达到95%以上。</w:t>
      </w:r>
    </w:p>
    <w:p w14:paraId="28BFF189">
      <w:pPr>
        <w:pStyle w:val="20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  <w:t>偏离绩效目标的原因和下一步改进措施</w:t>
      </w:r>
    </w:p>
    <w:p w14:paraId="789A8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b w:val="0"/>
          <w:bCs w:val="0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b w:val="0"/>
          <w:bCs w:val="0"/>
          <w:szCs w:val="32"/>
          <w:highlight w:val="none"/>
          <w:lang w:val="en-US" w:eastAsia="zh-CN"/>
        </w:rPr>
        <w:t>无</w:t>
      </w:r>
    </w:p>
    <w:p w14:paraId="1F8A2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napToGrid/>
          <w:color w:val="auto"/>
          <w:kern w:val="2"/>
          <w:szCs w:val="32"/>
        </w:rPr>
        <w:t>绩效自评结果拟应用和公开情况</w:t>
      </w:r>
    </w:p>
    <w:p w14:paraId="2C51B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绩效自评结果自用和报上级部门应用，并在原州区人民政府信息公开官网进行公示。</w:t>
      </w:r>
    </w:p>
    <w:p w14:paraId="007BA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五、其他需要说明的问题</w:t>
      </w:r>
    </w:p>
    <w:p w14:paraId="47545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76"/>
        <w:textAlignment w:val="auto"/>
        <w:rPr>
          <w:rFonts w:hint="eastAsia" w:ascii="仿宋_GB2312" w:cs="Times New Roman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zCs w:val="32"/>
          <w:highlight w:val="none"/>
          <w:lang w:val="en-US" w:eastAsia="zh-CN"/>
        </w:rPr>
        <w:t>无</w:t>
      </w:r>
    </w:p>
    <w:p w14:paraId="3E5183C4">
      <w:pPr>
        <w:pStyle w:val="20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Cs w:val="32"/>
          <w:lang w:val="en-US" w:eastAsia="zh-CN"/>
        </w:rPr>
        <w:t>六、附件</w:t>
      </w:r>
    </w:p>
    <w:p w14:paraId="05800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年自治区财政支农项目绩效目标自评表</w:t>
      </w:r>
    </w:p>
    <w:p w14:paraId="5CA6CA57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8B10FB7">
      <w:pPr>
        <w:pStyle w:val="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752F4B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70C4A3">
      <w:pPr>
        <w:pStyle w:val="2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ind w:right="0" w:rightChars="0"/>
        <w:jc w:val="both"/>
        <w:textAlignment w:val="center"/>
        <w:rPr>
          <w:rStyle w:val="22"/>
          <w:rFonts w:hint="eastAsia" w:ascii="宋体" w:hAnsi="宋体" w:eastAsia="宋体" w:cs="宋体"/>
          <w:bCs/>
          <w:color w:val="auto"/>
          <w:spacing w:val="0"/>
          <w:sz w:val="24"/>
          <w:szCs w:val="24"/>
          <w:vertAlign w:val="baseline"/>
          <w:lang w:val="zh-TW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细圆B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瑞意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7884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A161D20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161D20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YzVlYmFlMzVhYTUzMjUzZTE4ZWE4NmJjZGVhYWYifQ=="/>
  </w:docVars>
  <w:rsids>
    <w:rsidRoot w:val="1A7878D2"/>
    <w:rsid w:val="05FDFE08"/>
    <w:rsid w:val="1743014E"/>
    <w:rsid w:val="1A7878D2"/>
    <w:rsid w:val="1B4A5F2B"/>
    <w:rsid w:val="1BFF788E"/>
    <w:rsid w:val="1EF7ABE6"/>
    <w:rsid w:val="1FA3C935"/>
    <w:rsid w:val="1FFA0F55"/>
    <w:rsid w:val="23DF8E90"/>
    <w:rsid w:val="23EBA5ED"/>
    <w:rsid w:val="23FF52A5"/>
    <w:rsid w:val="268D429D"/>
    <w:rsid w:val="28CF6570"/>
    <w:rsid w:val="29D71E79"/>
    <w:rsid w:val="2E455AD5"/>
    <w:rsid w:val="2EFB9464"/>
    <w:rsid w:val="2F6B51A8"/>
    <w:rsid w:val="2FF77A7A"/>
    <w:rsid w:val="2FF7ADEB"/>
    <w:rsid w:val="331E0C47"/>
    <w:rsid w:val="33BE319F"/>
    <w:rsid w:val="357DBB62"/>
    <w:rsid w:val="395EDBE6"/>
    <w:rsid w:val="3B7F2E11"/>
    <w:rsid w:val="3BDED7FF"/>
    <w:rsid w:val="3BFBB87A"/>
    <w:rsid w:val="3DDF428A"/>
    <w:rsid w:val="3DFDDBCD"/>
    <w:rsid w:val="3F37F93A"/>
    <w:rsid w:val="3F6A34DF"/>
    <w:rsid w:val="3F73A08A"/>
    <w:rsid w:val="3F9F50FA"/>
    <w:rsid w:val="3FC68E51"/>
    <w:rsid w:val="3FEFCDA3"/>
    <w:rsid w:val="3FF798EC"/>
    <w:rsid w:val="3FF9A0E9"/>
    <w:rsid w:val="3FFBDE8A"/>
    <w:rsid w:val="3FFF2959"/>
    <w:rsid w:val="467F118F"/>
    <w:rsid w:val="477B0D04"/>
    <w:rsid w:val="499E9F3A"/>
    <w:rsid w:val="4EAF8161"/>
    <w:rsid w:val="4FDB0EC0"/>
    <w:rsid w:val="4FFE6522"/>
    <w:rsid w:val="4FFF6BDF"/>
    <w:rsid w:val="52BFE8AB"/>
    <w:rsid w:val="54FF439F"/>
    <w:rsid w:val="56D73B7C"/>
    <w:rsid w:val="57D2FC73"/>
    <w:rsid w:val="57DC27D5"/>
    <w:rsid w:val="57DDA804"/>
    <w:rsid w:val="57E7C75F"/>
    <w:rsid w:val="5A5C4BA7"/>
    <w:rsid w:val="5AF5B37D"/>
    <w:rsid w:val="5B7EE14B"/>
    <w:rsid w:val="5BFCDD40"/>
    <w:rsid w:val="5BFD5114"/>
    <w:rsid w:val="5DEFEEA8"/>
    <w:rsid w:val="5EAAA9BC"/>
    <w:rsid w:val="5ED707E0"/>
    <w:rsid w:val="5EEBEA75"/>
    <w:rsid w:val="5EF2E6F1"/>
    <w:rsid w:val="5EFE1E32"/>
    <w:rsid w:val="5F71A83D"/>
    <w:rsid w:val="5FADE511"/>
    <w:rsid w:val="5FD51BCC"/>
    <w:rsid w:val="5FF79688"/>
    <w:rsid w:val="5FFBB8E5"/>
    <w:rsid w:val="5FFEFA98"/>
    <w:rsid w:val="66ABD178"/>
    <w:rsid w:val="66BB15FB"/>
    <w:rsid w:val="67B79097"/>
    <w:rsid w:val="6AF21BE6"/>
    <w:rsid w:val="6B7669F3"/>
    <w:rsid w:val="6BDB4EDB"/>
    <w:rsid w:val="6BFE8E24"/>
    <w:rsid w:val="6CF3E31E"/>
    <w:rsid w:val="6D7E8953"/>
    <w:rsid w:val="6D7F0A98"/>
    <w:rsid w:val="6D9FC412"/>
    <w:rsid w:val="6DF3CDE1"/>
    <w:rsid w:val="6F9F8FED"/>
    <w:rsid w:val="6FCFBE9B"/>
    <w:rsid w:val="6FD9A91A"/>
    <w:rsid w:val="6FEF9DD5"/>
    <w:rsid w:val="6FFF4710"/>
    <w:rsid w:val="6FFF8BD5"/>
    <w:rsid w:val="71DCCC3B"/>
    <w:rsid w:val="737F28DB"/>
    <w:rsid w:val="76974544"/>
    <w:rsid w:val="76DD6713"/>
    <w:rsid w:val="77993E57"/>
    <w:rsid w:val="77BBD776"/>
    <w:rsid w:val="77C70385"/>
    <w:rsid w:val="77EFD405"/>
    <w:rsid w:val="77FC08AE"/>
    <w:rsid w:val="77FF7542"/>
    <w:rsid w:val="77FFA3B9"/>
    <w:rsid w:val="7963B516"/>
    <w:rsid w:val="79DE2220"/>
    <w:rsid w:val="7A6A08DC"/>
    <w:rsid w:val="7AFFBE0D"/>
    <w:rsid w:val="7BB32BBB"/>
    <w:rsid w:val="7BBB5B17"/>
    <w:rsid w:val="7BDFF1E8"/>
    <w:rsid w:val="7BF2F3B4"/>
    <w:rsid w:val="7BFAB4FC"/>
    <w:rsid w:val="7BFD1512"/>
    <w:rsid w:val="7BFFC1B2"/>
    <w:rsid w:val="7CDFA886"/>
    <w:rsid w:val="7DB2F1D1"/>
    <w:rsid w:val="7DEF7484"/>
    <w:rsid w:val="7DFD9495"/>
    <w:rsid w:val="7E5727F8"/>
    <w:rsid w:val="7E6DF49C"/>
    <w:rsid w:val="7E7E766B"/>
    <w:rsid w:val="7EE7A325"/>
    <w:rsid w:val="7EEC8464"/>
    <w:rsid w:val="7EFFB684"/>
    <w:rsid w:val="7F5B2484"/>
    <w:rsid w:val="7F5B39B5"/>
    <w:rsid w:val="7F675B29"/>
    <w:rsid w:val="7F681CCD"/>
    <w:rsid w:val="7F6FF25A"/>
    <w:rsid w:val="7F7AEB9D"/>
    <w:rsid w:val="7FBE296E"/>
    <w:rsid w:val="7FBF31A1"/>
    <w:rsid w:val="7FCF5086"/>
    <w:rsid w:val="7FD3B86B"/>
    <w:rsid w:val="7FD70D02"/>
    <w:rsid w:val="7FDFEA6D"/>
    <w:rsid w:val="7FEBC523"/>
    <w:rsid w:val="7FF7B906"/>
    <w:rsid w:val="7FFF645A"/>
    <w:rsid w:val="9473DF49"/>
    <w:rsid w:val="95DB15E4"/>
    <w:rsid w:val="95EF856F"/>
    <w:rsid w:val="9AF6F4AC"/>
    <w:rsid w:val="9BF3FEBF"/>
    <w:rsid w:val="9BFF91A1"/>
    <w:rsid w:val="9DB5E02C"/>
    <w:rsid w:val="9FED0EB0"/>
    <w:rsid w:val="9FEDF13C"/>
    <w:rsid w:val="ABBFD4F4"/>
    <w:rsid w:val="AFE903C4"/>
    <w:rsid w:val="AFEA6E4B"/>
    <w:rsid w:val="B0DFF077"/>
    <w:rsid w:val="B1DFE018"/>
    <w:rsid w:val="B6FFD2A8"/>
    <w:rsid w:val="B76766D1"/>
    <w:rsid w:val="B76FBD18"/>
    <w:rsid w:val="B7B30631"/>
    <w:rsid w:val="B7FFF35F"/>
    <w:rsid w:val="B9EFE822"/>
    <w:rsid w:val="B9FFC161"/>
    <w:rsid w:val="BBED50B2"/>
    <w:rsid w:val="BBF626A0"/>
    <w:rsid w:val="BBFF32B5"/>
    <w:rsid w:val="BD7CD338"/>
    <w:rsid w:val="BDDFF7A6"/>
    <w:rsid w:val="BEFB01E3"/>
    <w:rsid w:val="BEFB6CFE"/>
    <w:rsid w:val="CCBD7C85"/>
    <w:rsid w:val="CDFFC0F7"/>
    <w:rsid w:val="CE7F59B0"/>
    <w:rsid w:val="CF7D92C7"/>
    <w:rsid w:val="CFECA316"/>
    <w:rsid w:val="D61F5F62"/>
    <w:rsid w:val="D6DF800D"/>
    <w:rsid w:val="D6DFAFA0"/>
    <w:rsid w:val="D6FE365B"/>
    <w:rsid w:val="D8DB4E76"/>
    <w:rsid w:val="DABF4CE8"/>
    <w:rsid w:val="DAF26C50"/>
    <w:rsid w:val="DB6D7EC7"/>
    <w:rsid w:val="DBD32C60"/>
    <w:rsid w:val="DBF909C8"/>
    <w:rsid w:val="DBFFD08B"/>
    <w:rsid w:val="DEBB9B8B"/>
    <w:rsid w:val="DEEB5828"/>
    <w:rsid w:val="DFBEAE9C"/>
    <w:rsid w:val="DFE7CBFC"/>
    <w:rsid w:val="DFEABC16"/>
    <w:rsid w:val="DFFF5224"/>
    <w:rsid w:val="E5BB88A3"/>
    <w:rsid w:val="E97BED82"/>
    <w:rsid w:val="EAF779DE"/>
    <w:rsid w:val="EB557166"/>
    <w:rsid w:val="EBACA86C"/>
    <w:rsid w:val="EBBF3D02"/>
    <w:rsid w:val="EBF496B7"/>
    <w:rsid w:val="EBFF4B60"/>
    <w:rsid w:val="ED4B5D73"/>
    <w:rsid w:val="ED4FBA58"/>
    <w:rsid w:val="EDE921F3"/>
    <w:rsid w:val="EDF7004A"/>
    <w:rsid w:val="EDFFE673"/>
    <w:rsid w:val="EE72DB26"/>
    <w:rsid w:val="EEB15C44"/>
    <w:rsid w:val="EEFE5260"/>
    <w:rsid w:val="EF524B1F"/>
    <w:rsid w:val="EF6D4B7F"/>
    <w:rsid w:val="EFDC9C05"/>
    <w:rsid w:val="EFDD72CC"/>
    <w:rsid w:val="EFDE26F0"/>
    <w:rsid w:val="EFEB3EF7"/>
    <w:rsid w:val="EFEE6908"/>
    <w:rsid w:val="EFFB0A5C"/>
    <w:rsid w:val="F0BB4997"/>
    <w:rsid w:val="F3BFD45B"/>
    <w:rsid w:val="F3BFEFF4"/>
    <w:rsid w:val="F537261F"/>
    <w:rsid w:val="F5FF71D8"/>
    <w:rsid w:val="F61F056C"/>
    <w:rsid w:val="F69FF984"/>
    <w:rsid w:val="F6AB13E5"/>
    <w:rsid w:val="F6CD507B"/>
    <w:rsid w:val="F6F39B65"/>
    <w:rsid w:val="F6F51733"/>
    <w:rsid w:val="F76E46DF"/>
    <w:rsid w:val="F78F73AD"/>
    <w:rsid w:val="F7BE0EA8"/>
    <w:rsid w:val="F7BF45D6"/>
    <w:rsid w:val="F7D3CC64"/>
    <w:rsid w:val="F7DF10C3"/>
    <w:rsid w:val="F7EC5236"/>
    <w:rsid w:val="F7F9E552"/>
    <w:rsid w:val="F7FEB79B"/>
    <w:rsid w:val="F7FF97C4"/>
    <w:rsid w:val="F7FFA8F3"/>
    <w:rsid w:val="F9DF0303"/>
    <w:rsid w:val="F9F8EA52"/>
    <w:rsid w:val="FA75AA38"/>
    <w:rsid w:val="FACE490F"/>
    <w:rsid w:val="FB69DE74"/>
    <w:rsid w:val="FB8F2AF4"/>
    <w:rsid w:val="FBACDA90"/>
    <w:rsid w:val="FBBDC962"/>
    <w:rsid w:val="FBF39013"/>
    <w:rsid w:val="FBFF3A7E"/>
    <w:rsid w:val="FCFFE3D1"/>
    <w:rsid w:val="FD3FBE2A"/>
    <w:rsid w:val="FD764820"/>
    <w:rsid w:val="FD7FAF89"/>
    <w:rsid w:val="FDD79E9B"/>
    <w:rsid w:val="FDD87E9B"/>
    <w:rsid w:val="FDDFD138"/>
    <w:rsid w:val="FDF3A23F"/>
    <w:rsid w:val="FDF5D486"/>
    <w:rsid w:val="FDFB1214"/>
    <w:rsid w:val="FDFF7A8E"/>
    <w:rsid w:val="FE7F6DD7"/>
    <w:rsid w:val="FEBAD51F"/>
    <w:rsid w:val="FEBFBA95"/>
    <w:rsid w:val="FEECA0E2"/>
    <w:rsid w:val="FEEF2C1C"/>
    <w:rsid w:val="FEF7A344"/>
    <w:rsid w:val="FEF7D9D1"/>
    <w:rsid w:val="FEFFC10C"/>
    <w:rsid w:val="FF0E5CA7"/>
    <w:rsid w:val="FF33F36D"/>
    <w:rsid w:val="FF3D3ED3"/>
    <w:rsid w:val="FFB5D037"/>
    <w:rsid w:val="FFBBB9E7"/>
    <w:rsid w:val="FFBE6370"/>
    <w:rsid w:val="FFBF438F"/>
    <w:rsid w:val="FFCB12A8"/>
    <w:rsid w:val="FFDAA986"/>
    <w:rsid w:val="FFFB4631"/>
    <w:rsid w:val="FFFBF510"/>
    <w:rsid w:val="FFFC64C7"/>
    <w:rsid w:val="FFFD05E5"/>
    <w:rsid w:val="FFFF316C"/>
    <w:rsid w:val="FFFFE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ind w:firstLine="200" w:firstLineChars="200"/>
    </w:pPr>
    <w:rPr>
      <w:rFonts w:ascii="Calibri" w:hAnsi="Calibri" w:eastAsia="宋体"/>
    </w:rPr>
  </w:style>
  <w:style w:type="paragraph" w:styleId="3">
    <w:name w:val="Body Text"/>
    <w:basedOn w:val="1"/>
    <w:next w:val="2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List 2"/>
    <w:basedOn w:val="1"/>
    <w:qFormat/>
    <w:uiPriority w:val="0"/>
    <w:pPr>
      <w:ind w:left="100" w:leftChars="200" w:hanging="200" w:hangingChars="2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u w:val="single"/>
      <w:lang w:eastAsia="en-US"/>
    </w:rPr>
  </w:style>
  <w:style w:type="paragraph" w:styleId="12">
    <w:name w:val="Body Text First Indent 2"/>
    <w:basedOn w:val="5"/>
    <w:next w:val="7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9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Calibri" w:hAnsi="Calibri" w:eastAsia="方正仿宋_GBK" w:cs="Times New Roman"/>
      <w:snapToGrid w:val="0"/>
      <w:kern w:val="0"/>
      <w:sz w:val="32"/>
      <w:szCs w:val="20"/>
    </w:rPr>
  </w:style>
  <w:style w:type="paragraph" w:customStyle="1" w:styleId="21">
    <w:name w:val="正文文本 (6)"/>
    <w:basedOn w:val="1"/>
    <w:qFormat/>
    <w:uiPriority w:val="99"/>
    <w:pPr>
      <w:shd w:val="clear" w:color="auto" w:fill="FFFFFF"/>
      <w:spacing w:before="240" w:after="8040" w:line="240" w:lineRule="atLeast"/>
      <w:jc w:val="center"/>
    </w:pPr>
    <w:rPr>
      <w:rFonts w:ascii="宋体" w:hAnsi="Times New Roman" w:eastAsia="宋体" w:cs="Times New Roman"/>
      <w:color w:val="auto"/>
      <w:spacing w:val="30"/>
      <w:sz w:val="32"/>
      <w:szCs w:val="32"/>
    </w:rPr>
  </w:style>
  <w:style w:type="character" w:customStyle="1" w:styleId="22">
    <w:name w:val="正文文本 (2)_"/>
    <w:link w:val="23"/>
    <w:qFormat/>
    <w:uiPriority w:val="99"/>
    <w:rPr>
      <w:rFonts w:ascii="宋体" w:hAnsi="Times New Roman" w:eastAsia="宋体" w:cs="Times New Roman"/>
      <w:color w:val="auto"/>
      <w:sz w:val="30"/>
      <w:szCs w:val="30"/>
    </w:rPr>
  </w:style>
  <w:style w:type="paragraph" w:customStyle="1" w:styleId="23">
    <w:name w:val="正文文本 (2)1"/>
    <w:basedOn w:val="1"/>
    <w:link w:val="22"/>
    <w:qFormat/>
    <w:uiPriority w:val="99"/>
    <w:pPr>
      <w:shd w:val="clear" w:color="auto" w:fill="FFFFFF"/>
      <w:spacing w:line="586" w:lineRule="exact"/>
      <w:jc w:val="distribute"/>
    </w:pPr>
    <w:rPr>
      <w:rFonts w:ascii="宋体" w:hAnsi="Times New Roman" w:eastAsia="宋体" w:cs="Times New Roman"/>
      <w:color w:val="auto"/>
      <w:sz w:val="30"/>
      <w:szCs w:val="30"/>
    </w:rPr>
  </w:style>
  <w:style w:type="character" w:customStyle="1" w:styleId="24">
    <w:name w:val="font41"/>
    <w:qFormat/>
    <w:uiPriority w:val="0"/>
    <w:rPr>
      <w:rFonts w:ascii="汉仪细圆B5" w:hAnsi="汉仪细圆B5" w:eastAsia="汉仪细圆B5" w:cs="汉仪细圆B5"/>
      <w:color w:val="000000"/>
      <w:sz w:val="18"/>
      <w:szCs w:val="18"/>
      <w:u w:val="none"/>
    </w:rPr>
  </w:style>
  <w:style w:type="character" w:customStyle="1" w:styleId="25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91"/>
    <w:qFormat/>
    <w:uiPriority w:val="0"/>
    <w:rPr>
      <w:rFonts w:ascii="汉仪瑞意宋简" w:hAnsi="汉仪瑞意宋简" w:eastAsia="汉仪瑞意宋简" w:cs="汉仪瑞意宋简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75ccbf65-d8f0-447f-9e51-30bdada86faa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608CC675</paraID>
      <start>55</start>
      <end>56</end>
      <status>unmodified</status>
      <modifiedWord/>
      <trackRevisions>false</trackRevisions>
    </reviewItem>
    <reviewItem>
      <errorID>6c5de743-2598-4f5f-a5fc-faa73cd45cf8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608CC675</paraID>
      <start>57</start>
      <end>58</end>
      <status>unmodified</status>
      <modifiedWord/>
      <trackRevisions>false</trackRevisions>
    </reviewItem>
    <reviewItem>
      <errorID>0a2b02ee-7a9a-4c5d-b115-1f58e5730059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608CC675</paraID>
      <start>125</start>
      <end>126</end>
      <status>unmodified</status>
      <modifiedWord/>
      <trackRevisions>false</trackRevisions>
    </reviewItem>
    <reviewItem>
      <errorID>84eb2c8b-2d80-445a-b9dc-34f0e116c357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608CC675</paraID>
      <start>156</start>
      <end>161</end>
      <status>unmodified</status>
      <modifiedWord/>
      <trackRevisions>false</trackRevisions>
    </reviewItem>
    <reviewItem>
      <errorID>d7c74e4c-7bfe-4bbc-b4b0-5ebee7812231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1BC80485</paraID>
      <start>0</start>
      <end>2</end>
      <status>unmodified</status>
      <modifiedWord/>
      <trackRevisions>false</trackRevisions>
    </reviewItem>
    <reviewItem>
      <errorID>f9e2233f-0e88-483f-ae64-1e56d77d1810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56C023BC</paraID>
      <start>0</start>
      <end>2</end>
      <status>unmodified</status>
      <modifiedWord/>
      <trackRevisions>false</trackRevisions>
    </reviewItem>
    <reviewItem>
      <errorID>32c683c6-4fb5-405a-9ac5-ee2ed11a4c15</errorID>
      <errorWord>30%-50%</errorWord>
      <group>L1_Knowledge</group>
      <groupName>知识性问题</groupName>
      <ability>L2_Knowledge</ability>
      <abilityName>其他知识</abilityName>
      <candidateList>
        <item>30%—50%</item>
      </candidateList>
      <explain>1. “30%-50%”中的单位“%”仅出现在后一个数字上，容易引起歧义；根据《现代汉语标点符号数字用法规范手册》，数字表示范围两边需要使用统一的格式。2.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48CFB2F9</paraID>
      <start>65</start>
      <end>72</end>
      <status>unmodified</status>
      <modifiedWord/>
      <trackRevisions>false</trackRevisions>
    </reviewItem>
    <reviewItem>
      <errorID>7ecace53-7601-4535-a1af-4b520ed891fb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39B239B4</paraID>
      <start>0</start>
      <end>2</end>
      <status>unmodified</status>
      <modifiedWord/>
      <trackRevisions>false</trackRevisions>
    </reviewItem>
    <reviewItem>
      <errorID>87c612f0-aec2-467f-b8ca-c8898de8298c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2BF63CA9</paraID>
      <start>0</start>
      <end>2</end>
      <status>unmodified</status>
      <modifiedWord/>
      <trackRevisions>false</trackRevisions>
    </reviewItem>
    <reviewItem>
      <errorID>88a5e216-c271-403a-af45-9fe5a9378e92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538F512A</paraID>
      <start>0</start>
      <end>2</end>
      <status>unmodified</status>
      <modifiedWord/>
      <trackRevisions>false</trackRevisions>
    </reviewItem>
    <reviewItem>
      <errorID>582303d6-9bdd-4bb5-8b31-01217af9beda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39D2DB04</paraID>
      <start>0</start>
      <end>2</end>
      <status>unmodified</status>
      <modifiedWord/>
      <trackRevisions>false</trackRevisions>
    </reviewItem>
    <reviewItem>
      <errorID>3a9f402a-2a1a-4d7f-a974-15553a86b083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77B5127D</paraID>
      <start>0</start>
      <end>2</end>
      <status>unmodified</status>
      <modifiedWord/>
      <trackRevisions>false</trackRevisions>
    </reviewItem>
    <reviewItem>
      <errorID>b1f2bc87-3feb-4442-aa05-661b67b27634</errorID>
      <errorWord>30%-50%</errorWord>
      <group>L1_Knowledge</group>
      <groupName>知识性问题</groupName>
      <ability>L2_Knowledge</ability>
      <abilityName>其他知识</abilityName>
      <candidateList>
        <item>30%—50%</item>
      </candidateList>
      <explain>1. “30%-50%”中的单位“%”仅出现在后一个数字上，容易引起歧义；根据《现代汉语标点符号数字用法规范手册》，数字表示范围两边需要使用统一的格式。2.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4E42A71B</paraID>
      <start>75</start>
      <end>82</end>
      <status>unmodified</status>
      <modifiedWord/>
      <trackRevisions>false</trackRevisions>
    </reviewItem>
    <reviewItem>
      <errorID>d350ea77-20c9-4dbb-959f-dc6fa0f20edd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70F15DA2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b479a-3a20-4436-8b55-d0f3bda7ad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2280</Words>
  <Characters>2401</Characters>
  <Lines>0</Lines>
  <Paragraphs>0</Paragraphs>
  <TotalTime>2</TotalTime>
  <ScaleCrop>false</ScaleCrop>
  <LinksUpToDate>false</LinksUpToDate>
  <CharactersWithSpaces>2412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2023-04-25T07:15:00Z</dcterms:created>
  <dc:creator>Administrator</dc:creator>
  <cp:lastModifiedBy>十</cp:lastModifiedBy>
  <cp:lastPrinted>2026-03-20T02:30:00Z</cp:lastPrinted>
  <dcterms:modified xsi:type="dcterms:W3CDTF">2026-04-23T09:29:18Z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D05B3DA71FC4697FF85FBB6997EF2CDC_43</vt:lpwstr>
  </property>
  <property fmtid="{D5CDD505-2E9C-101B-9397-08002B2CF9AE}" pid="4" name="KSOTemplateDocerSaveRecord">
    <vt:lpwstr>eyJoZGlkIjoiZWEyYTMzYzZjNjVkMzI2OWZkOWYzNjA1MGU0ZWI1ODQiLCJ1c2VySWQiOiI0MjU3MzQwMTEifQ==</vt:lpwstr>
  </property>
</Properties>
</file>