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4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color w:val="222222"/>
          <w:w w:val="100"/>
          <w:kern w:val="0"/>
          <w:sz w:val="32"/>
          <w:szCs w:val="32"/>
          <w:lang w:val="en-US" w:eastAsia="zh-CN"/>
        </w:rPr>
        <w:t>25：</w:t>
      </w:r>
    </w:p>
    <w:p w14:paraId="760F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2025年原州区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土壤墒情监测项目</w:t>
      </w:r>
    </w:p>
    <w:p w14:paraId="0798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绩效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自评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报告</w:t>
      </w:r>
    </w:p>
    <w:p w14:paraId="295C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</w:pPr>
    </w:p>
    <w:p w14:paraId="6C8C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为加强财政资金支出管理，优化财政支出结构，逐步探索和建立科学、高效的财政支出绩效评价机制，提高财政资金使用效益和效率，根据自治区农业农村厅《</w:t>
      </w:r>
      <w:r>
        <w:rPr>
          <w:rFonts w:hint="default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关于开展202</w:t>
      </w:r>
      <w:r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转移支付绩效自评和</w:t>
      </w:r>
      <w:r>
        <w:rPr>
          <w:rFonts w:hint="default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项目支出绩效</w:t>
      </w:r>
      <w:r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评价</w:t>
      </w:r>
      <w:r>
        <w:rPr>
          <w:rFonts w:hint="default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>工作的通知</w:t>
      </w:r>
      <w:r>
        <w:rPr>
          <w:rFonts w:hint="eastAsia" w:ascii="仿宋_GB2312" w:hAnsi="仿宋_GB2312" w:eastAsia="仿宋_GB2312" w:cs="仿宋_GB2312"/>
          <w:color w:val="222222"/>
          <w:w w:val="100"/>
          <w:kern w:val="0"/>
          <w:sz w:val="32"/>
          <w:szCs w:val="32"/>
          <w:lang w:val="en-US" w:eastAsia="zh-CN"/>
        </w:rPr>
        <w:t xml:space="preserve">》精神，我单位对该项目进行了自验、自评，现将自评情况汇报如下： </w:t>
      </w:r>
    </w:p>
    <w:p w14:paraId="08A1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5"/>
        <w:textAlignment w:val="auto"/>
        <w:rPr>
          <w:rFonts w:hint="eastAsia" w:ascii="黑体" w:hAnsi="黑体" w:eastAsia="黑体" w:cs="黑体"/>
          <w:bCs/>
          <w:w w:val="100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w w:val="100"/>
          <w:szCs w:val="32"/>
          <w:lang w:val="en-US" w:eastAsia="zh-CN"/>
        </w:rPr>
        <w:t>一、绩效目标分解下达情况</w:t>
      </w:r>
    </w:p>
    <w:p w14:paraId="1251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/>
          <w:bCs w:val="0"/>
          <w:w w:val="100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 w:val="0"/>
          <w:w w:val="100"/>
          <w:szCs w:val="32"/>
          <w:lang w:eastAsia="zh-CN"/>
        </w:rPr>
        <w:t>（一）自治区下达专项转移支付预算和绩效目标情况</w:t>
      </w:r>
    </w:p>
    <w:p w14:paraId="56562F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w w:val="100"/>
          <w:szCs w:val="32"/>
          <w:lang w:val="en-US" w:eastAsia="zh-CN"/>
        </w:rPr>
        <w:t>1. 专项转移支付预算</w:t>
      </w:r>
    </w:p>
    <w:p w14:paraId="52DC7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依据自治区农业农村厅《关于提前下达 2025 年中央和自治区第一批财政支农项目计划的通知》（宁农计发〔2024〕16 号）以及《关于印发 2025 年中央和自治区第一批财政支农种植业领域项目实施方案的通知》（宁农种发〔2025〕3 号）文件精神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，下达我区项目资金 10 万元，其中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7万元用于墒情监测工作，3万元用于墒情监测站设备维护与采购工作。</w:t>
      </w:r>
    </w:p>
    <w:p w14:paraId="72EE374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43" w:firstLineChars="200"/>
        <w:rPr>
          <w:rFonts w:hint="eastAsia" w:ascii="仿宋_GB2312" w:hAnsi="仿宋_GB2312" w:cs="仿宋_GB2312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w w:val="100"/>
          <w:sz w:val="32"/>
          <w:szCs w:val="32"/>
          <w:lang w:val="en-US" w:eastAsia="zh-CN"/>
        </w:rPr>
        <w:t>2. 绩效目标</w:t>
      </w:r>
    </w:p>
    <w:p w14:paraId="5CF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绩效目标如下：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其一，开展墒情监测与调查工作的县区数量为1个；其二，墒情监测技术指导覆盖率与技术应用覆盖率均达95%；其三，全年发送墒情监测简报18期以上，并同步加强监测系统维护；满意度指标达90%以上。</w:t>
      </w:r>
    </w:p>
    <w:p w14:paraId="2037E7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w w:val="100"/>
          <w:kern w:val="2"/>
          <w:sz w:val="32"/>
          <w:szCs w:val="32"/>
          <w:lang w:val="en-US" w:eastAsia="zh-CN" w:bidi="ar-SA"/>
        </w:rPr>
        <w:t>（二）本级下达市县区预算和绩效目标情况</w:t>
      </w:r>
    </w:p>
    <w:p w14:paraId="046553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w w:val="100"/>
          <w:szCs w:val="32"/>
          <w:lang w:val="en-US" w:eastAsia="zh-CN"/>
        </w:rPr>
        <w:t>1. 本</w:t>
      </w:r>
      <w:r>
        <w:rPr>
          <w:rFonts w:hint="eastAsia" w:ascii="仿宋_GB2312" w:hAnsi="仿宋_GB2312" w:eastAsia="仿宋_GB2312" w:cs="仿宋_GB2312"/>
          <w:b/>
          <w:bCs w:val="0"/>
          <w:w w:val="100"/>
          <w:szCs w:val="32"/>
          <w:lang w:val="en-US" w:eastAsia="zh-CN"/>
        </w:rPr>
        <w:t>级</w:t>
      </w:r>
      <w:r>
        <w:rPr>
          <w:rFonts w:hint="eastAsia" w:ascii="仿宋_GB2312" w:hAnsi="仿宋_GB2312" w:cs="仿宋_GB2312"/>
          <w:b/>
          <w:bCs/>
          <w:w w:val="100"/>
          <w:szCs w:val="32"/>
          <w:lang w:val="en-US" w:eastAsia="zh-CN"/>
        </w:rPr>
        <w:t>下达预算</w:t>
      </w:r>
    </w:p>
    <w:p w14:paraId="17D3C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项目下达后，本中心积极与乡镇对接，原州区农业农村局编制并上报《关于上报中央和自治区 2025 年第一批财政支农项目实施方案的报告》（原农发〔2024〕15号）文件，本级分解下达预算如下：</w:t>
      </w:r>
    </w:p>
    <w:p w14:paraId="2949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5"/>
        <w:textAlignment w:val="auto"/>
        <w:outlineLvl w:val="9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Cs w:val="32"/>
        </w:rPr>
        <w:t>建设地点：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原州区各乡镇。</w:t>
      </w:r>
    </w:p>
    <w:p w14:paraId="4E6476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建设规模及内容：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开展墒情监测，服务农业生产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年发布信息简报不少于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进行土壤田间持水量补充测定；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开展监测数据汇总及年度总结；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开展土壤墒情评价指标补充测定、监测数据汇总及年度总结。建设年限为2025 年1月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12月。</w:t>
      </w:r>
    </w:p>
    <w:p w14:paraId="656A09F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投资概算及资金来源：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项目总投资1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万元，资金源于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2025年中央和自治区第一批财政支农项目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，其中7万元用于墒情监测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万元用于墒情监测站设备维护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与采购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1BB56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cs="宋体"/>
          <w:b/>
          <w:kern w:val="0"/>
          <w:szCs w:val="32"/>
          <w:lang w:eastAsia="zh-CN"/>
        </w:rPr>
      </w:pPr>
      <w:r>
        <w:rPr>
          <w:rFonts w:hint="eastAsia" w:ascii="仿宋_GB2312" w:cs="宋体"/>
          <w:b/>
          <w:kern w:val="0"/>
          <w:szCs w:val="32"/>
          <w:lang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绩效目标</w:t>
      </w:r>
    </w:p>
    <w:p w14:paraId="3EE0E4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绩效目标为：一是开展墒情监测、调查的县区1个；二是墒情监测技术指导和技术覆盖率达到95%；三是发送墒情监测简报18期以上，围圈法测定田间最大持水量22个、取样测定0-20㎝与20-40㎝两层土壤容重44个；农户满意度指标达到90%以上。</w:t>
      </w:r>
    </w:p>
    <w:p w14:paraId="129C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w w:val="100"/>
          <w:kern w:val="2"/>
          <w:sz w:val="32"/>
          <w:szCs w:val="32"/>
          <w:lang w:val="en-US" w:eastAsia="zh-CN" w:bidi="ar-SA"/>
        </w:rPr>
        <w:t>（三）项目绩效目标及绩效指标设定情况</w:t>
      </w:r>
    </w:p>
    <w:p w14:paraId="0951AE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w w:val="100"/>
          <w:kern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一是开展墒情监测、调查的县区1个；二是墒情监测技术指导和技术覆盖率达到95%；三是发送墒情监测简报18期以上，农户满意度指标达到90%以上。</w:t>
      </w:r>
    </w:p>
    <w:p w14:paraId="49F3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指标设定：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采用百分制考核，其中：</w:t>
      </w:r>
      <w:r>
        <w:rPr>
          <w:rFonts w:hint="eastAsia" w:ascii="仿宋_GB2312" w:hAnsi="仿宋_GB2312" w:cs="仿宋_GB2312"/>
          <w:color w:val="auto"/>
          <w:w w:val="100"/>
          <w:kern w:val="0"/>
          <w:sz w:val="32"/>
          <w:szCs w:val="32"/>
          <w:lang w:val="en-US" w:eastAsia="zh-CN"/>
        </w:rPr>
        <w:t>预算执行情况1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0分，</w:t>
      </w:r>
      <w:r>
        <w:rPr>
          <w:rFonts w:hint="eastAsia" w:ascii="仿宋_GB2312" w:hAnsi="仿宋_GB2312" w:cs="仿宋_GB2312"/>
          <w:color w:val="auto"/>
          <w:w w:val="100"/>
          <w:kern w:val="0"/>
          <w:sz w:val="32"/>
          <w:szCs w:val="32"/>
          <w:lang w:val="en-US" w:eastAsia="zh-CN"/>
        </w:rPr>
        <w:t>绩效指标9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0分</w:t>
      </w:r>
      <w:r>
        <w:rPr>
          <w:rFonts w:hint="eastAsia" w:ascii="仿宋_GB2312" w:hAnsi="仿宋_GB2312" w:cs="仿宋_GB2312"/>
          <w:color w:val="auto"/>
          <w:w w:val="100"/>
          <w:kern w:val="0"/>
          <w:sz w:val="32"/>
          <w:szCs w:val="32"/>
          <w:lang w:val="en-US" w:eastAsia="zh-CN"/>
        </w:rPr>
        <w:t>（产出指标50分，效益指标30分，满意度指标10分）。</w:t>
      </w:r>
    </w:p>
    <w:p w14:paraId="2A4F5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5"/>
        <w:textAlignment w:val="auto"/>
        <w:rPr>
          <w:rFonts w:hint="eastAsia" w:ascii="黑体" w:hAnsi="黑体" w:eastAsia="黑体" w:cs="黑体"/>
          <w:b w:val="0"/>
          <w:bCs/>
          <w:w w:val="10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Cs w:val="32"/>
          <w:lang w:val="en-US" w:eastAsia="zh-CN"/>
        </w:rPr>
        <w:t>二、绩效目标完成情况分析</w:t>
      </w:r>
    </w:p>
    <w:p w14:paraId="63F5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3"/>
        <w:textAlignment w:val="auto"/>
        <w:outlineLvl w:val="9"/>
        <w:rPr>
          <w:rFonts w:ascii="楷体_GB2312" w:hAnsi="Times New Roman" w:eastAsia="楷体_GB2312"/>
          <w:b/>
          <w:w w:val="95"/>
          <w:szCs w:val="32"/>
        </w:rPr>
      </w:pPr>
      <w:r>
        <w:rPr>
          <w:rFonts w:hint="eastAsia" w:ascii="楷体_GB2312" w:hAnsi="Times New Roman" w:eastAsia="楷体_GB2312"/>
          <w:b/>
          <w:w w:val="95"/>
          <w:szCs w:val="32"/>
        </w:rPr>
        <w:t>（一）资金</w:t>
      </w:r>
      <w:r>
        <w:rPr>
          <w:rFonts w:hint="eastAsia" w:ascii="楷体_GB2312" w:hAnsi="Times New Roman" w:eastAsia="楷体_GB2312"/>
          <w:b/>
          <w:w w:val="95"/>
          <w:szCs w:val="32"/>
          <w:lang w:eastAsia="zh-CN"/>
        </w:rPr>
        <w:t>投入</w:t>
      </w:r>
      <w:r>
        <w:rPr>
          <w:rFonts w:hint="eastAsia" w:ascii="楷体_GB2312" w:hAnsi="Times New Roman" w:eastAsia="楷体_GB2312"/>
          <w:b/>
          <w:w w:val="95"/>
          <w:szCs w:val="32"/>
        </w:rPr>
        <w:t>情况分析</w:t>
      </w:r>
    </w:p>
    <w:p w14:paraId="5A4D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/>
          <w:b/>
          <w:w w:val="95"/>
          <w:szCs w:val="32"/>
          <w:lang w:eastAsia="zh-CN"/>
        </w:rPr>
      </w:pPr>
      <w:r>
        <w:rPr>
          <w:rFonts w:hint="eastAsia" w:ascii="仿宋_GB2312" w:hAnsi="Times New Roman"/>
          <w:b/>
          <w:w w:val="95"/>
          <w:szCs w:val="32"/>
          <w:lang w:eastAsia="zh-CN"/>
        </w:rPr>
        <w:t>1. 项目资金到位情况分析</w:t>
      </w:r>
    </w:p>
    <w:p w14:paraId="4870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全年资金总额1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万元，资金全部来源于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2025年中央和自治区第一批财政支农项目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。实际到位资金1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万元，资金到位率达100%。由此可见，项目资金及时、足额到位。</w:t>
      </w:r>
    </w:p>
    <w:p w14:paraId="56F5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/>
          <w:b/>
          <w:w w:val="95"/>
          <w:szCs w:val="32"/>
          <w:lang w:eastAsia="zh-CN"/>
        </w:rPr>
      </w:pPr>
      <w:r>
        <w:rPr>
          <w:rFonts w:hint="eastAsia" w:ascii="仿宋_GB2312" w:hAnsi="Times New Roman"/>
          <w:b/>
          <w:w w:val="95"/>
          <w:szCs w:val="32"/>
          <w:lang w:eastAsia="zh-CN"/>
        </w:rPr>
        <w:t>2. 项目资金执行情况分析</w:t>
      </w:r>
    </w:p>
    <w:p w14:paraId="06A5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项目全年预算数10万元，截至目前执行数7.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988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万元，执行率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79.88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%。项目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已完成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E0D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3"/>
        <w:textAlignment w:val="auto"/>
        <w:outlineLvl w:val="9"/>
        <w:rPr>
          <w:rFonts w:hint="eastAsia" w:ascii="楷体_GB2312" w:hAnsi="Times New Roman" w:eastAsia="楷体_GB2312"/>
          <w:b/>
          <w:w w:val="95"/>
          <w:szCs w:val="32"/>
          <w:lang w:eastAsia="zh-CN"/>
        </w:rPr>
      </w:pPr>
      <w:r>
        <w:rPr>
          <w:rFonts w:hint="eastAsia" w:ascii="楷体_GB2312" w:hAnsi="Times New Roman" w:eastAsia="楷体_GB2312"/>
          <w:b/>
          <w:w w:val="95"/>
          <w:szCs w:val="32"/>
          <w:lang w:eastAsia="zh-CN"/>
        </w:rPr>
        <w:t>（二）项目资金管理情况分析</w:t>
      </w:r>
    </w:p>
    <w:p w14:paraId="17DC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自治区农业农村厅《关于提前下达2025年中央和自治区第一批财政支农项目计划的通知》（宁农计发〔2024〕16号）和区农业农村局《关于上报2025年中央和自治区第一批财政支农项目实施方案的报告》（原农发〔2025〕32号），切实强化项目资金管理。</w:t>
      </w:r>
      <w:r>
        <w:rPr>
          <w:rFonts w:hint="eastAsia" w:ascii="仿宋_GB2312" w:hAnsi="仿宋_GB2312" w:eastAsia="仿宋_GB2312" w:cs="仿宋_GB2312"/>
          <w:b/>
          <w:bCs/>
          <w:w w:val="10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了《农业项目实施管理办法》《项目实施流程与资料管理制度》和《财务管理制度》，按照“1会、4审、2签”资金支付流程管理，“1会”即中心领导班子会议通过后支付；“4审”即经办人—财务负责人—项目负责人—单位负责人逐级审核通过后支付；“2签”即2名经手人和 2名财务审签人签字通过后支付。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严格遵循财务管理要求，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资金支付须具备齐全的批复文件、采购资料、验收资料、物资发放资料等附件后方可支付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，切实完善财务管理和资金使用管理制度。综上所述，项目财务制度健全，制度执行严谨，管理程序规范、合法，资金拨付手续完整、有效。</w:t>
      </w:r>
    </w:p>
    <w:p w14:paraId="5B05B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3"/>
        <w:textAlignment w:val="auto"/>
        <w:rPr>
          <w:rFonts w:hint="eastAsia" w:ascii="楷体_GB2312" w:hAnsi="楷体_GB2312" w:eastAsia="楷体_GB2312" w:cs="楷体_GB2312"/>
          <w:b/>
          <w:w w:val="100"/>
          <w:szCs w:val="32"/>
        </w:rPr>
      </w:pPr>
      <w:r>
        <w:rPr>
          <w:rFonts w:hint="eastAsia" w:ascii="楷体_GB2312" w:hAnsi="楷体_GB2312" w:eastAsia="楷体_GB2312" w:cs="楷体_GB2312"/>
          <w:b/>
          <w:w w:val="100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w w:val="100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w w:val="100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w w:val="100"/>
          <w:szCs w:val="32"/>
          <w:lang w:eastAsia="zh-CN"/>
        </w:rPr>
        <w:t>总体</w:t>
      </w:r>
      <w:r>
        <w:rPr>
          <w:rFonts w:hint="eastAsia" w:ascii="楷体_GB2312" w:hAnsi="楷体_GB2312" w:eastAsia="楷体_GB2312" w:cs="楷体_GB2312"/>
          <w:b/>
          <w:w w:val="100"/>
          <w:szCs w:val="32"/>
        </w:rPr>
        <w:t>绩效指标完成情况分析</w:t>
      </w:r>
    </w:p>
    <w:p w14:paraId="7E0581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在原州区完成墒情监测、调查任务；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向中国节水农业信息网及上级业务主管部门提交了26期详尽的土壤墒情监测简报，超额完成下达的18期任务，完成率达到144.4%。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22个监测站点围圈法最大监测点田间持水量测定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完成率100%。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对全区11个乡镇粮食生产功能区以及城区全年降雨量、土壤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相对含水量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墒情与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旱情状况、土壤容重、监测点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基本情况、土壤类型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作物产量进行系统评价。</w:t>
      </w:r>
    </w:p>
    <w:p w14:paraId="7B7C4201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项目绩效评价体系由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个一级指标、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个二级指标及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个三级指标体系构成。一级指标包括预算执行情况、绩效指标完成情况，分值分别为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分、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分。通过逐项细化，定量、定性全面分析，满分100分，绩效评价80分以上良好（含），80～60分合格（含），60分以下不合格。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 xml:space="preserve"> </w:t>
      </w:r>
    </w:p>
    <w:p w14:paraId="3CC863F4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项目绩效自评得分</w:t>
      </w:r>
      <w:r>
        <w:rPr>
          <w:rFonts w:hint="eastAsia" w:ascii="仿宋_GB2312" w:hAnsi="仿宋_GB2312" w:cs="仿宋_GB2312"/>
          <w:color w:val="auto"/>
          <w:w w:val="100"/>
          <w:kern w:val="0"/>
          <w:sz w:val="32"/>
          <w:szCs w:val="32"/>
          <w:lang w:val="en-US" w:eastAsia="zh-CN"/>
        </w:rPr>
        <w:t>98.05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分，其中：预算执行情况8.05分，项目绩效</w:t>
      </w:r>
      <w:r>
        <w:rPr>
          <w:rFonts w:hint="eastAsia" w:ascii="仿宋_GB2312" w:hAnsi="仿宋_GB2312" w:cs="仿宋_GB2312"/>
          <w:color w:val="auto"/>
          <w:w w:val="10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分，其中：产出指标</w:t>
      </w:r>
      <w:r>
        <w:rPr>
          <w:rFonts w:hint="eastAsia" w:ascii="仿宋_GB2312" w:hAnsi="仿宋_GB2312" w:cs="仿宋_GB2312"/>
          <w:color w:val="auto"/>
          <w:w w:val="1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/>
        </w:rPr>
        <w:t>分，效益指标30分，满意度指标10分，绩效自评结果为良好。</w:t>
      </w:r>
    </w:p>
    <w:p w14:paraId="722AD3F4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w w:val="100"/>
          <w:szCs w:val="32"/>
        </w:rPr>
      </w:pPr>
      <w:r>
        <w:rPr>
          <w:rFonts w:hint="eastAsia" w:ascii="楷体_GB2312" w:hAnsi="楷体_GB2312" w:eastAsia="楷体_GB2312" w:cs="楷体_GB2312"/>
          <w:b/>
          <w:w w:val="100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w w:val="100"/>
          <w:szCs w:val="32"/>
        </w:rPr>
        <w:t>项目</w:t>
      </w:r>
      <w:r>
        <w:rPr>
          <w:rFonts w:hint="eastAsia" w:ascii="楷体_GB2312" w:hAnsi="楷体_GB2312" w:eastAsia="楷体_GB2312" w:cs="楷体_GB2312"/>
          <w:b/>
          <w:w w:val="100"/>
          <w:szCs w:val="32"/>
          <w:lang w:eastAsia="zh-CN"/>
        </w:rPr>
        <w:t>目标</w:t>
      </w:r>
      <w:r>
        <w:rPr>
          <w:rFonts w:hint="eastAsia" w:ascii="楷体_GB2312" w:hAnsi="楷体_GB2312" w:eastAsia="楷体_GB2312" w:cs="楷体_GB2312"/>
          <w:b/>
          <w:w w:val="100"/>
          <w:szCs w:val="32"/>
        </w:rPr>
        <w:t>完成情况分析</w:t>
      </w:r>
    </w:p>
    <w:p w14:paraId="23F9F61F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11" w:firstLineChars="200"/>
        <w:jc w:val="both"/>
        <w:textAlignment w:val="baseline"/>
        <w:rPr>
          <w:rFonts w:hint="eastAsia" w:ascii="仿宋_GB2312" w:hAnsi="Times New Roman"/>
          <w:b/>
          <w:w w:val="95"/>
          <w:szCs w:val="32"/>
          <w:lang w:eastAsia="zh-CN"/>
        </w:rPr>
      </w:pPr>
      <w:r>
        <w:rPr>
          <w:rFonts w:hint="eastAsia" w:ascii="仿宋_GB2312" w:hAnsi="Times New Roman"/>
          <w:b/>
          <w:w w:val="95"/>
          <w:szCs w:val="32"/>
          <w:lang w:eastAsia="zh-CN"/>
        </w:rPr>
        <w:t>1. 产出指标完成情况分析</w:t>
      </w:r>
    </w:p>
    <w:p w14:paraId="0F260E52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/>
          <w:b/>
          <w:bCs/>
          <w:szCs w:val="32"/>
          <w:lang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（1）数量指标</w:t>
      </w:r>
    </w:p>
    <w:p w14:paraId="4DD194C4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在原州区完成墒情监测、调查任务；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截至目前，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向中国节水农业信息网以及上级业务主管部门提交了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期墒情监测简报，完成下达任务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144.4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；完成22个监测点田间持水量测定，完成率100%；完成22个监测点0-20㎝、20-40㎝土壤容重取样监测，共计44个样完成率100%。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全面服务原州区各区域农业生产，完成计划任务的100%。</w:t>
      </w:r>
    </w:p>
    <w:p w14:paraId="5559E6CC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/>
          <w:b/>
          <w:bCs/>
          <w:szCs w:val="32"/>
          <w:lang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（2）质量指标</w:t>
      </w:r>
    </w:p>
    <w:p w14:paraId="250F0DD1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是达成重大旱情、涝情监测全覆盖；二是发布墒情监测简报26期，墒情信息报送准确、及时且有效；三是完成22个监测点的土壤容重测试；四是完成22个监测点围圈法灌溉田间最大持水量测试，并将相关数据上报中国节水农业处。</w:t>
      </w:r>
    </w:p>
    <w:p w14:paraId="2A7B3FE9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/>
          <w:b/>
          <w:bCs/>
          <w:szCs w:val="32"/>
          <w:lang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（3）时效指标</w:t>
      </w:r>
    </w:p>
    <w:p w14:paraId="53B6524D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项目实施依照年初计划进度有序开展，本项目于2025年1月上旬启动，12月完成项目建设任务、资金支付以及项目档案资料归档管理工作，项目时效性显著。</w:t>
      </w:r>
    </w:p>
    <w:p w14:paraId="6E5410C5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w w:val="1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10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w w:val="100"/>
          <w:szCs w:val="32"/>
          <w:lang w:eastAsia="zh-CN"/>
        </w:rPr>
        <w:t>）成本指标</w:t>
      </w:r>
    </w:p>
    <w:p w14:paraId="48C4B436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项目总投资为10万元，截至目前执行金额达8.0528万元，执行率为80.53%，结余1.9472万元。</w:t>
      </w:r>
    </w:p>
    <w:p w14:paraId="18B2A45F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11" w:firstLineChars="200"/>
        <w:jc w:val="both"/>
        <w:textAlignment w:val="baseline"/>
        <w:rPr>
          <w:rFonts w:hint="eastAsia" w:ascii="仿宋_GB2312" w:hAnsi="Times New Roman"/>
          <w:b/>
          <w:w w:val="95"/>
          <w:szCs w:val="32"/>
          <w:lang w:eastAsia="zh-CN"/>
        </w:rPr>
      </w:pPr>
      <w:r>
        <w:rPr>
          <w:rFonts w:hint="eastAsia" w:ascii="仿宋_GB2312" w:hAnsi="Times New Roman"/>
          <w:b/>
          <w:w w:val="95"/>
          <w:szCs w:val="32"/>
          <w:lang w:eastAsia="zh-CN"/>
        </w:rPr>
        <w:t>2. 效益指标完成情况分析</w:t>
      </w:r>
    </w:p>
    <w:p w14:paraId="11606F2A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/>
          <w:b/>
          <w:bCs/>
          <w:szCs w:val="32"/>
          <w:lang w:eastAsia="zh-CN"/>
        </w:rPr>
      </w:pPr>
      <w:r>
        <w:rPr>
          <w:rFonts w:hint="eastAsia" w:ascii="仿宋_GB2312"/>
          <w:b/>
          <w:bCs/>
          <w:szCs w:val="32"/>
          <w:lang w:eastAsia="zh-CN"/>
        </w:rPr>
        <w:t>（1）经济效益</w:t>
      </w:r>
    </w:p>
    <w:p w14:paraId="2800D7AF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ascii="仿宋_GB2312" w:hAnsi="仿宋_GB2312" w:eastAsia="仿宋_GB2312" w:cs="仿宋_GB2312"/>
          <w:bCs/>
          <w:i w:val="0"/>
          <w:kern w:val="2"/>
          <w:sz w:val="32"/>
          <w:szCs w:val="32"/>
          <w:lang w:bidi="ar-SA"/>
        </w:rPr>
      </w:pPr>
      <w:r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eastAsia="zh-CN" w:bidi="ar-SA"/>
        </w:rPr>
        <w:t>开展原州区农田土壤墒情监测工作，显著提高了农业生产效率，对环境可持续性产生了积极影响。借助精确的土壤湿度监测，农民可实时获取监测数据、气象预测信息以及农事建议，进而适时调整灌溉策略和作物种植结构，实现水资源节约与灾害规避。例如，在2025年，从全区22个监测点中随机选取6个长期土壤墒情监测点，分别为头营镇马园村、彭堡镇别庄村、张易镇盐泥村、三营镇赵寺村、张易镇陈沟村、河川乡寨洼村，并运用墒情监测技术开展现场指导工作。</w:t>
      </w:r>
      <w:r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val="en-US" w:eastAsia="zh-CN" w:bidi="ar-SA"/>
        </w:rPr>
        <w:t>在农产品种植中，农户通过应用腐熟农家肥替代化肥、测土配方施肥、病虫害绿色防控、测墒精准灌溉、双垄沟播技术、种肥同播工艺、滴灌系统、抗旱保水剂等高效节水农艺措施，显著提升了作物的产量和质量。这些技术的应用不仅减少了灾害性损失，而且通过优化资源配置和提高生产效率，有效促进了农业经济的增长，提高了经济效益和社会效益。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最终，通过测产数据与农户实际收获产量进行大田常规比对</w:t>
      </w:r>
      <w:r>
        <w:rPr>
          <w:rFonts w:ascii="仿宋_GB2312" w:hAnsi="仿宋_GB2312" w:eastAsia="仿宋_GB2312" w:cs="仿宋_GB2312"/>
          <w:bCs/>
          <w:i w:val="0"/>
          <w:kern w:val="2"/>
          <w:sz w:val="32"/>
          <w:szCs w:val="32"/>
          <w:lang w:bidi="ar-SA"/>
        </w:rPr>
        <w:t>，结果详见下表。</w:t>
      </w:r>
    </w:p>
    <w:tbl>
      <w:tblPr>
        <w:tblStyle w:val="9"/>
        <w:tblpPr w:leftFromText="180" w:rightFromText="180" w:vertAnchor="text" w:horzAnchor="page" w:tblpX="1638" w:tblpY="321"/>
        <w:tblOverlap w:val="never"/>
        <w:tblW w:w="87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07"/>
        <w:gridCol w:w="1489"/>
        <w:gridCol w:w="712"/>
        <w:gridCol w:w="1088"/>
        <w:gridCol w:w="1012"/>
        <w:gridCol w:w="621"/>
        <w:gridCol w:w="781"/>
        <w:gridCol w:w="789"/>
        <w:gridCol w:w="941"/>
      </w:tblGrid>
      <w:tr w14:paraId="338E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C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典型所</w:t>
            </w:r>
          </w:p>
          <w:p w14:paraId="44E5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在村组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E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135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作物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1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  <w:t>指导</w:t>
            </w:r>
          </w:p>
          <w:p w14:paraId="12C1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  <w:t>措施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0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采取措施面积（亩）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F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采取措施平均亩产（kg/亩）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无措施平均亩产（kg/亩）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7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亩增产（kg）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A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市场价（元/kg）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7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亩增收入（元）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D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总增收（元）</w:t>
            </w:r>
          </w:p>
        </w:tc>
      </w:tr>
      <w:tr w14:paraId="3AC6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A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头营镇</w:t>
            </w:r>
          </w:p>
          <w:p w14:paraId="5406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马园村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E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露地玉米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5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  <w:t>测墒灌溉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+一次性施肥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3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7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6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D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5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B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7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1512</w:t>
            </w:r>
          </w:p>
        </w:tc>
      </w:tr>
      <w:tr w14:paraId="1CC7D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E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彭堡别</w:t>
            </w:r>
          </w:p>
          <w:p w14:paraId="41BE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庄村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0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滴灌玉米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8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  <w:t>测墒灌溉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+膜下滴灌+化肥减量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E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7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A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891.5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E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0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C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332.9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7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665.8</w:t>
            </w:r>
          </w:p>
        </w:tc>
      </w:tr>
      <w:tr w14:paraId="3B283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E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张易镇</w:t>
            </w:r>
          </w:p>
          <w:p w14:paraId="027E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盐泥村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6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春小麦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F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腐熟牛粪+化肥减量增效+抗旱保水剂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3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2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5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5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0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F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3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336</w:t>
            </w:r>
          </w:p>
        </w:tc>
      </w:tr>
      <w:tr w14:paraId="539C5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8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三营镇</w:t>
            </w:r>
          </w:p>
          <w:p w14:paraId="65DF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赵寺村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E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水浇地玉米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A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  <w:t>测墒灌溉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+有机肥+化肥减量增效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4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1100</w:t>
            </w:r>
            <w:r>
              <w:rPr>
                <w:rFonts w:hint="eastAsia" w:ascii="宋体" w:hAnsi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C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950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A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2.1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8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C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1260</w:t>
            </w:r>
          </w:p>
        </w:tc>
      </w:tr>
      <w:tr w14:paraId="4DE69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3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张易镇</w:t>
            </w:r>
          </w:p>
          <w:p w14:paraId="1845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陈沟村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0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2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墒情监测+种肥同播+功能保水有机肥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C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E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3652.5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1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3090.2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A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562.3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B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0.9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C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506.1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D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101220</w:t>
            </w:r>
          </w:p>
        </w:tc>
      </w:tr>
      <w:tr w14:paraId="405C9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C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河川乡</w:t>
            </w:r>
          </w:p>
          <w:p w14:paraId="72E0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寨洼村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9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水浇地玉米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E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  <w:t>测墒灌溉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+测土配方施肥+腐熟有机肥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2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5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950</w:t>
            </w:r>
            <w:r>
              <w:rPr>
                <w:rFonts w:hint="eastAsia" w:ascii="宋体" w:hAnsi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E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795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0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1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1.72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9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325.5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3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1627.5</w:t>
            </w:r>
          </w:p>
        </w:tc>
      </w:tr>
    </w:tbl>
    <w:p w14:paraId="10F99807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/>
          <w:b/>
          <w:bCs/>
          <w:szCs w:val="32"/>
          <w:lang w:val="en-US" w:eastAsia="zh-CN"/>
        </w:rPr>
      </w:pPr>
      <w:r>
        <w:rPr>
          <w:rFonts w:hint="eastAsia" w:ascii="仿宋_GB2312"/>
          <w:b/>
          <w:bCs/>
          <w:szCs w:val="32"/>
          <w:lang w:val="en-US" w:eastAsia="zh-CN"/>
        </w:rPr>
        <w:t>（2）环境效益剖析</w:t>
      </w:r>
    </w:p>
    <w:p w14:paraId="73915246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eastAsia="zh-CN" w:bidi="ar-SA"/>
        </w:rPr>
      </w:pPr>
      <w:r>
        <w:rPr>
          <w:rFonts w:ascii="仿宋_GB2312" w:hAnsi="仿宋_GB2312" w:eastAsia="仿宋_GB2312" w:cs="仿宋_GB2312"/>
          <w:bCs/>
          <w:i w:val="0"/>
          <w:kern w:val="2"/>
          <w:sz w:val="32"/>
          <w:szCs w:val="32"/>
          <w:lang w:bidi="ar-SA"/>
        </w:rPr>
        <w:t>墒情监测作为现代农业和生态保护的关键技术手段，其环境效益在多个维度得以体现。</w:t>
      </w:r>
      <w:r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eastAsia="zh-CN" w:bidi="ar-SA"/>
        </w:rPr>
        <w:t>该技术借助精确数据推动资源优化与科学化管理，有效缓解了资源浪费状况，改善了生态环境</w:t>
      </w:r>
      <w:r>
        <w:rPr>
          <w:rFonts w:ascii="仿宋_GB2312" w:hAnsi="仿宋_GB2312" w:eastAsia="仿宋_GB2312" w:cs="仿宋_GB2312"/>
          <w:bCs/>
          <w:i w:val="0"/>
          <w:kern w:val="2"/>
          <w:sz w:val="32"/>
          <w:szCs w:val="32"/>
          <w:lang w:bidi="ar-SA"/>
        </w:rPr>
        <w:t>。具体而言，促进了水资源的高效利用与节约。</w:t>
      </w:r>
      <w:r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eastAsia="zh-CN" w:bidi="ar-SA"/>
        </w:rPr>
        <w:t>墒情监测系统实时监测土壤水分含量（如0%～100%相对含水率），可提供精确的土壤水分数据，避免传统经验灌溉的盲目性</w:t>
      </w:r>
      <w:r>
        <w:rPr>
          <w:rFonts w:ascii="仿宋_GB2312" w:hAnsi="仿宋_GB2312" w:eastAsia="仿宋_GB2312" w:cs="仿宋_GB2312"/>
          <w:bCs/>
          <w:i w:val="0"/>
          <w:kern w:val="2"/>
          <w:sz w:val="32"/>
          <w:szCs w:val="32"/>
          <w:lang w:bidi="ar-SA"/>
        </w:rPr>
        <w:t>。农业生产者可以得到精准的灌溉建议，包括灌溉的时间、水量以及灌溉方式等，确保作物生长所需的水分，避免水资源的浪费。例如，在连续降雨后减少灌溉频率，在高温干旱时增加灌溉量和频率。</w:t>
      </w:r>
      <w:r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eastAsia="zh-CN" w:bidi="ar-SA"/>
        </w:rPr>
        <w:t>通过采用精准灌溉技术，如滴灌和微灌，不仅显著提高了作物的生长质量和产量，还实现了节水率高达50%。在干旱区域，该系统可及时预警缺水状况，指导采取针对性抗旱措施，确保生态用水需求得到满足。同时，结合气象短期预报与作物需水模型，墒情监测系统还能指导变量施肥或用药，减少化肥农药过量使用，降低氮磷流失风险，减轻对土壤和水体的化学污染。</w:t>
      </w:r>
    </w:p>
    <w:p w14:paraId="22D7DAC3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/>
          <w:b/>
          <w:bCs/>
          <w:szCs w:val="32"/>
          <w:lang w:val="en-US" w:eastAsia="zh-CN"/>
        </w:rPr>
      </w:pPr>
      <w:r>
        <w:rPr>
          <w:rFonts w:hint="eastAsia" w:ascii="仿宋_GB2312"/>
          <w:b/>
          <w:bCs/>
          <w:szCs w:val="32"/>
          <w:lang w:val="en-US" w:eastAsia="zh-CN"/>
        </w:rPr>
        <w:t>（3）社会效益剖析</w:t>
      </w:r>
    </w:p>
    <w:p w14:paraId="22846726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cs="仿宋_GB2312"/>
          <w:bCs/>
          <w:i w:val="0"/>
          <w:kern w:val="2"/>
          <w:sz w:val="32"/>
          <w:szCs w:val="32"/>
          <w:lang w:eastAsia="zh-CN" w:bidi="ar-SA"/>
        </w:rPr>
        <w:t>该系统促进农业产出与效益提升，为农业生产者提供精准种植指导，助力优化灌溉施肥策略，进而提高作物产量与品质。以原州区为例，该区部署先进的土壤湿度监测网络，覆盖76万亩粮食作物种植区，实现了旱情实时预警与科学种植指导。这不仅优化了灌溉施肥管理，还通过数据驱动的决策支持，有效提升了作物产量与质量，降低了资源浪费，显著促进了农业产出与农民效益提升。借助物联网和大数据技术，如智能灌溉系统与作物健康管理，农业生产者可实时监测土壤墒情与作物生长状况，科学指导用水、用药和施肥，显著提高资源利用效率，减少浪费与环境污染，同时为抗旱救灾提供有力数据支持。</w:t>
      </w:r>
      <w:r>
        <w:rPr>
          <w:rFonts w:ascii="仿宋_GB2312" w:hAnsi="仿宋_GB2312" w:eastAsia="仿宋_GB2312" w:cs="仿宋_GB2312"/>
          <w:bCs/>
          <w:i w:val="0"/>
          <w:kern w:val="2"/>
          <w:sz w:val="32"/>
          <w:szCs w:val="32"/>
          <w:lang w:bidi="ar-SA"/>
        </w:rPr>
        <w:t>例如，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原州区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今年春播期间，尽管面临干旱、少雨和大风等不利天气条件，但通过土壤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墒情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监测和精准的旱情分析，大部分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区域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的农业生产得到了有效保障。例如，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原州区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通过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实时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监测土壤墒情，及时掌握了土壤湿度变化，为春播提供了有力支撑。农业农村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与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各乡镇紧密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协作，开展土壤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墒情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和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旱情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预报，增强了服务的实用性，确保了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val="en-US" w:eastAsia="zh-CN" w:bidi="ar-SA"/>
        </w:rPr>
        <w:t>土壤墒情监测</w:t>
      </w:r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服务</w:t>
      </w:r>
      <w:bookmarkStart w:id="0" w:name="_GoBack"/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更</w:t>
      </w:r>
      <w:bookmarkEnd w:id="0"/>
      <w:r>
        <w:rPr>
          <w:rFonts w:hint="eastAsia" w:ascii="仿宋_GB2312" w:hAnsi="仿宋_GB2312" w:eastAsia="仿宋_GB2312" w:cs="仿宋_GB2312"/>
          <w:bCs/>
          <w:i w:val="0"/>
          <w:kern w:val="2"/>
          <w:sz w:val="32"/>
          <w:szCs w:val="32"/>
          <w:lang w:eastAsia="zh-CN" w:bidi="ar-SA"/>
        </w:rPr>
        <w:t>贴近农业发展和农民的实际需求。</w:t>
      </w:r>
    </w:p>
    <w:p w14:paraId="2ED0067F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b/>
          <w:bCs/>
          <w:szCs w:val="32"/>
          <w:lang w:val="en-US" w:eastAsia="zh-CN"/>
        </w:rPr>
        <w:t>（4）生态效益剖析</w:t>
      </w:r>
    </w:p>
    <w:p w14:paraId="7970E19A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eastAsia="zh-CN" w:bidi="ar-SA"/>
        </w:rPr>
        <w:t>实施土壤墒情实时监测，能够精准掌握农田、草地、森林等生态系统的水分状况，据此采取科学管理措施，优化水资源配置，进而提升生态系统的稳定性与生产力。为农民提供科学指导，助力其合理规划灌溉，避免水资源浪费，保护土壤结构，减少水土流失，从而提升农田生态系统健康水平。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同时，对监测数据进行深入而全面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 w:bidi="ar-SA"/>
        </w:rPr>
        <w:t>的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分析，针对气象条件和土壤墒情提出切实可行的农事建议。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帮助农民及时掌握土壤墒情与旱情信息，采取适宜农业措施，提升作物产量，保障农业生产。</w:t>
      </w:r>
    </w:p>
    <w:p w14:paraId="6192A7CC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（5）可持续影响</w:t>
      </w:r>
    </w:p>
    <w:p w14:paraId="79080EE8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通过项目建设，共收集各类取样及降雨量等数据2.6万余条，上报监测结果5382次，编辑发布农事建议143条。向全国中心、自治区推广总站、固原市农技中心、原州区农业农村局以及11个乡镇发布墒情信息26期次，并提出适宜的农事建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尤其是通过原州农牧发布的墒情简报，每期的阅读量在 800-1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00 人之间。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为政府开展农业结构调整及农业相关部门指导农民抗旱、抗逆、适播适种适管提供科学依据；在3-5月春旱期间，增加监测频次，积极引导并督促农民通过喷施叶面肥、清除田间杂草、复种、改种等措施开展农业生产。</w:t>
      </w:r>
    </w:p>
    <w:p w14:paraId="3E906BA0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 满意度指标完成情况分析</w:t>
      </w:r>
    </w:p>
    <w:p w14:paraId="54207D90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通过社会调查，从农户对项目、墒情监测覆盖面及生产季节指导适墒播种的满意度等方面，走访项目区服务对象开展满意度调查评价。经调查，满意度测评结果为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97.5分。</w:t>
      </w:r>
    </w:p>
    <w:p w14:paraId="2B0E5B40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/>
          <w:bCs w:val="0"/>
          <w:w w:val="100"/>
          <w:szCs w:val="32"/>
        </w:rPr>
      </w:pPr>
      <w:r>
        <w:rPr>
          <w:rFonts w:hint="eastAsia" w:ascii="黑体" w:hAnsi="黑体" w:eastAsia="黑体" w:cs="黑体"/>
          <w:b w:val="0"/>
          <w:bCs/>
          <w:w w:val="100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w w:val="100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w w:val="100"/>
          <w:szCs w:val="32"/>
          <w:lang w:eastAsia="zh-CN"/>
        </w:rPr>
        <w:t>偏离</w:t>
      </w:r>
      <w:r>
        <w:rPr>
          <w:rFonts w:hint="eastAsia" w:ascii="黑体" w:hAnsi="黑体" w:eastAsia="黑体" w:cs="黑体"/>
          <w:b w:val="0"/>
          <w:bCs/>
          <w:w w:val="100"/>
          <w:szCs w:val="32"/>
        </w:rPr>
        <w:t>绩效目标</w:t>
      </w:r>
      <w:r>
        <w:rPr>
          <w:rFonts w:hint="eastAsia" w:ascii="黑体" w:hAnsi="黑体" w:eastAsia="黑体" w:cs="黑体"/>
          <w:b w:val="0"/>
          <w:bCs/>
          <w:w w:val="100"/>
          <w:szCs w:val="32"/>
          <w:lang w:eastAsia="zh-CN"/>
        </w:rPr>
        <w:t>的</w:t>
      </w:r>
      <w:r>
        <w:rPr>
          <w:rFonts w:hint="eastAsia" w:ascii="黑体" w:hAnsi="黑体" w:eastAsia="黑体" w:cs="黑体"/>
          <w:b w:val="0"/>
          <w:bCs/>
          <w:w w:val="100"/>
          <w:szCs w:val="32"/>
        </w:rPr>
        <w:t>原因和下一步改进措施</w:t>
      </w:r>
    </w:p>
    <w:p w14:paraId="17EA220A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未出现绩效目标偏离情况。</w:t>
      </w:r>
    </w:p>
    <w:p w14:paraId="2DFB7FB4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w w:val="100"/>
          <w:szCs w:val="32"/>
        </w:rPr>
      </w:pPr>
      <w:r>
        <w:rPr>
          <w:rFonts w:hint="eastAsia" w:ascii="黑体" w:hAnsi="黑体" w:eastAsia="黑体" w:cs="黑体"/>
          <w:b w:val="0"/>
          <w:bCs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 w:val="0"/>
          <w:bCs/>
          <w:w w:val="100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w w:val="100"/>
          <w:szCs w:val="32"/>
        </w:rPr>
        <w:t>、绩效自评结果拟应用和公开情况</w:t>
      </w:r>
    </w:p>
    <w:p w14:paraId="64D7FC2B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在单位内部公开项目绩效自评结果，促进各项目组相互借鉴、查漏补缺，避免同类问题再次发生。其次，将结果上报上级及自治区主管部门，由绩效评价专家组评审。第三，针对主管部门反馈的评审结果认真整改，为下一年项目决策提供技术支撑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10C368F3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Cs/>
          <w:w w:val="100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w w:val="100"/>
          <w:szCs w:val="32"/>
          <w:lang w:val="en-US" w:eastAsia="zh-CN"/>
        </w:rPr>
        <w:t>五、其他需要说明的问题</w:t>
      </w:r>
    </w:p>
    <w:p w14:paraId="4B8352C8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在各级</w:t>
      </w:r>
      <w:r>
        <w:rPr>
          <w:rFonts w:hint="default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巡视、审计和财会监督中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未</w:t>
      </w:r>
      <w:r>
        <w:rPr>
          <w:rFonts w:hint="default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发现问题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。</w:t>
      </w:r>
    </w:p>
    <w:p w14:paraId="18A4BA4A">
      <w:pPr>
        <w:keepNext w:val="0"/>
        <w:keepLines w:val="0"/>
        <w:pageBreakBefore w:val="0"/>
        <w:widowControl w:val="0"/>
        <w:pBdr>
          <w:bottom w:val="single" w:color="FFFFFF" w:sz="4" w:space="31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cs="仿宋_GB2312"/>
          <w:w w:val="100"/>
          <w:kern w:val="0"/>
          <w:sz w:val="32"/>
          <w:szCs w:val="32"/>
          <w:lang w:val="en-US" w:eastAsia="zh-CN"/>
        </w:rPr>
      </w:pPr>
    </w:p>
    <w:p w14:paraId="360CD6B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76"/>
      </w:pPr>
      <w:r>
        <w:separator/>
      </w:r>
    </w:p>
  </w:endnote>
  <w:endnote w:type="continuationSeparator" w:id="1">
    <w:p>
      <w:pPr>
        <w:ind w:firstLine="5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5001B">
    <w:pPr>
      <w:widowControl w:val="0"/>
      <w:snapToGrid w:val="0"/>
      <w:jc w:val="left"/>
      <w:rPr>
        <w:rFonts w:ascii="Calibri" w:hAnsi="Calibri" w:eastAsia="仿宋_GB2312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182624E">
                          <w:pPr>
                            <w:snapToGrid w:val="0"/>
                            <w:ind w:firstLine="0" w:firstLineChars="0"/>
                            <w:rPr>
                              <w:rFonts w:hint="eastAsia" w:ascii="Calibri" w:hAnsi="Calibri" w:eastAsia="仿宋_GB2312" w:cs="Times New Roman"/>
                              <w:w w:val="100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w w:val="1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4VJ1dYBAACw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5VxZdmGCyZTG1rOVhv0w8dz79ow0&#10;e9wHRh2uPyXmg0O58+rMRpyN/WwcQ9SHruxWrgXh7TFhb6XlXGGERarZwUEW0tPS5U352y9Zj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R4VJ1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2624E">
                    <w:pPr>
                      <w:snapToGrid w:val="0"/>
                      <w:ind w:firstLine="0" w:firstLineChars="0"/>
                      <w:rPr>
                        <w:rFonts w:hint="eastAsia" w:ascii="Calibri" w:hAnsi="Calibri" w:eastAsia="仿宋_GB2312" w:cs="Times New Roman"/>
                        <w:w w:val="100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w w:val="10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76"/>
      </w:pPr>
      <w:r>
        <w:separator/>
      </w:r>
    </w:p>
  </w:footnote>
  <w:footnote w:type="continuationSeparator" w:id="1">
    <w:p>
      <w:pPr>
        <w:ind w:firstLine="5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93F01">
    <w:pPr>
      <w:pStyle w:val="6"/>
      <w:pBdr>
        <w:bottom w:val="none" w:color="auto" w:sz="0" w:space="0"/>
      </w:pBdr>
      <w:ind w:firstLine="323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44"/>
  <w:drawingGridVerticalSpacing w:val="391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WI3NmI4MTFhN2Y5YjYxODEzZjU3Y2YxNWVkMDIifQ=="/>
  </w:docVars>
  <w:rsids>
    <w:rsidRoot w:val="005E6151"/>
    <w:rsid w:val="00003E1E"/>
    <w:rsid w:val="000209F6"/>
    <w:rsid w:val="00040B5F"/>
    <w:rsid w:val="00042CE0"/>
    <w:rsid w:val="00063167"/>
    <w:rsid w:val="00065D9B"/>
    <w:rsid w:val="0008303F"/>
    <w:rsid w:val="0008346D"/>
    <w:rsid w:val="00090339"/>
    <w:rsid w:val="00092DB5"/>
    <w:rsid w:val="000961BB"/>
    <w:rsid w:val="000969A0"/>
    <w:rsid w:val="000B60A9"/>
    <w:rsid w:val="000C3F4B"/>
    <w:rsid w:val="000C605C"/>
    <w:rsid w:val="001B2596"/>
    <w:rsid w:val="001D6F96"/>
    <w:rsid w:val="00201605"/>
    <w:rsid w:val="00217CE9"/>
    <w:rsid w:val="002240FB"/>
    <w:rsid w:val="00224B37"/>
    <w:rsid w:val="0024216A"/>
    <w:rsid w:val="00245E80"/>
    <w:rsid w:val="00246D4B"/>
    <w:rsid w:val="00294F70"/>
    <w:rsid w:val="00295B07"/>
    <w:rsid w:val="002B119B"/>
    <w:rsid w:val="002D4BC8"/>
    <w:rsid w:val="002E40BE"/>
    <w:rsid w:val="002E627C"/>
    <w:rsid w:val="002F5F57"/>
    <w:rsid w:val="00306991"/>
    <w:rsid w:val="003147A2"/>
    <w:rsid w:val="00323B43"/>
    <w:rsid w:val="00325760"/>
    <w:rsid w:val="00354857"/>
    <w:rsid w:val="003849F4"/>
    <w:rsid w:val="003938A7"/>
    <w:rsid w:val="00397DDF"/>
    <w:rsid w:val="003B603C"/>
    <w:rsid w:val="003B667F"/>
    <w:rsid w:val="003C2E5D"/>
    <w:rsid w:val="003C5952"/>
    <w:rsid w:val="003D2937"/>
    <w:rsid w:val="003D37D8"/>
    <w:rsid w:val="003E2BAB"/>
    <w:rsid w:val="004161DF"/>
    <w:rsid w:val="0042069E"/>
    <w:rsid w:val="00424D58"/>
    <w:rsid w:val="00426995"/>
    <w:rsid w:val="004317C8"/>
    <w:rsid w:val="004358AB"/>
    <w:rsid w:val="00452CB7"/>
    <w:rsid w:val="00453EDE"/>
    <w:rsid w:val="004F247B"/>
    <w:rsid w:val="004F2889"/>
    <w:rsid w:val="004F2EA2"/>
    <w:rsid w:val="004F3A07"/>
    <w:rsid w:val="004F436A"/>
    <w:rsid w:val="0050050A"/>
    <w:rsid w:val="005033AA"/>
    <w:rsid w:val="00503411"/>
    <w:rsid w:val="0050543E"/>
    <w:rsid w:val="00505EC0"/>
    <w:rsid w:val="00512F00"/>
    <w:rsid w:val="00520066"/>
    <w:rsid w:val="00527684"/>
    <w:rsid w:val="00537AF3"/>
    <w:rsid w:val="005402B4"/>
    <w:rsid w:val="00543374"/>
    <w:rsid w:val="0054644B"/>
    <w:rsid w:val="00553D16"/>
    <w:rsid w:val="00554B7E"/>
    <w:rsid w:val="0056359B"/>
    <w:rsid w:val="00564719"/>
    <w:rsid w:val="00581CF3"/>
    <w:rsid w:val="00586CF4"/>
    <w:rsid w:val="005A1F20"/>
    <w:rsid w:val="005D47F4"/>
    <w:rsid w:val="005E6151"/>
    <w:rsid w:val="005F5BE0"/>
    <w:rsid w:val="00611E9B"/>
    <w:rsid w:val="00626CBA"/>
    <w:rsid w:val="006361EA"/>
    <w:rsid w:val="006400F9"/>
    <w:rsid w:val="00656076"/>
    <w:rsid w:val="0066513B"/>
    <w:rsid w:val="00672CDE"/>
    <w:rsid w:val="00676F82"/>
    <w:rsid w:val="00677951"/>
    <w:rsid w:val="006917D8"/>
    <w:rsid w:val="006B1264"/>
    <w:rsid w:val="006C0256"/>
    <w:rsid w:val="006D77CF"/>
    <w:rsid w:val="006F36D5"/>
    <w:rsid w:val="00732CE4"/>
    <w:rsid w:val="0074493F"/>
    <w:rsid w:val="0076490D"/>
    <w:rsid w:val="007663D1"/>
    <w:rsid w:val="00797C1B"/>
    <w:rsid w:val="007D1464"/>
    <w:rsid w:val="007E7300"/>
    <w:rsid w:val="0082209A"/>
    <w:rsid w:val="008675B5"/>
    <w:rsid w:val="008A6958"/>
    <w:rsid w:val="008B7726"/>
    <w:rsid w:val="008C3B28"/>
    <w:rsid w:val="008D60A1"/>
    <w:rsid w:val="009010D5"/>
    <w:rsid w:val="00925691"/>
    <w:rsid w:val="009379DA"/>
    <w:rsid w:val="009434DF"/>
    <w:rsid w:val="00945C3C"/>
    <w:rsid w:val="00971A2F"/>
    <w:rsid w:val="0097420E"/>
    <w:rsid w:val="00982996"/>
    <w:rsid w:val="009C6163"/>
    <w:rsid w:val="009E07E0"/>
    <w:rsid w:val="00A07A6F"/>
    <w:rsid w:val="00A13CFD"/>
    <w:rsid w:val="00A23807"/>
    <w:rsid w:val="00A26270"/>
    <w:rsid w:val="00A42B6F"/>
    <w:rsid w:val="00A50FDF"/>
    <w:rsid w:val="00A62E8B"/>
    <w:rsid w:val="00A66C1E"/>
    <w:rsid w:val="00A74E3A"/>
    <w:rsid w:val="00A76ABD"/>
    <w:rsid w:val="00A83346"/>
    <w:rsid w:val="00AB1C2B"/>
    <w:rsid w:val="00AB2D62"/>
    <w:rsid w:val="00AB6AD3"/>
    <w:rsid w:val="00AE5F6B"/>
    <w:rsid w:val="00AF0A92"/>
    <w:rsid w:val="00AF17B0"/>
    <w:rsid w:val="00B02963"/>
    <w:rsid w:val="00B1389C"/>
    <w:rsid w:val="00B50B69"/>
    <w:rsid w:val="00B67E64"/>
    <w:rsid w:val="00B71865"/>
    <w:rsid w:val="00B854D2"/>
    <w:rsid w:val="00B959A6"/>
    <w:rsid w:val="00B96C17"/>
    <w:rsid w:val="00BB07D0"/>
    <w:rsid w:val="00BE0ACC"/>
    <w:rsid w:val="00BF536F"/>
    <w:rsid w:val="00C405B1"/>
    <w:rsid w:val="00C43356"/>
    <w:rsid w:val="00C53735"/>
    <w:rsid w:val="00C60ED5"/>
    <w:rsid w:val="00C875CB"/>
    <w:rsid w:val="00CC2D61"/>
    <w:rsid w:val="00CC7E88"/>
    <w:rsid w:val="00CE1A1C"/>
    <w:rsid w:val="00CE72B7"/>
    <w:rsid w:val="00CF67DD"/>
    <w:rsid w:val="00D12B45"/>
    <w:rsid w:val="00D371D9"/>
    <w:rsid w:val="00D44EEF"/>
    <w:rsid w:val="00D612E3"/>
    <w:rsid w:val="00D61EAA"/>
    <w:rsid w:val="00D65F18"/>
    <w:rsid w:val="00D95874"/>
    <w:rsid w:val="00D97254"/>
    <w:rsid w:val="00DB6CB4"/>
    <w:rsid w:val="00DF17FB"/>
    <w:rsid w:val="00E22644"/>
    <w:rsid w:val="00E22708"/>
    <w:rsid w:val="00E310EF"/>
    <w:rsid w:val="00E37A4A"/>
    <w:rsid w:val="00E431A0"/>
    <w:rsid w:val="00E46766"/>
    <w:rsid w:val="00E65B24"/>
    <w:rsid w:val="00E66912"/>
    <w:rsid w:val="00E66D41"/>
    <w:rsid w:val="00E735C5"/>
    <w:rsid w:val="00E861F1"/>
    <w:rsid w:val="00E95763"/>
    <w:rsid w:val="00E968EA"/>
    <w:rsid w:val="00ED1E3B"/>
    <w:rsid w:val="00EF70EE"/>
    <w:rsid w:val="00F01609"/>
    <w:rsid w:val="00F03C44"/>
    <w:rsid w:val="00F24F34"/>
    <w:rsid w:val="00F327FF"/>
    <w:rsid w:val="00F43B10"/>
    <w:rsid w:val="00F53CC4"/>
    <w:rsid w:val="00F73A4A"/>
    <w:rsid w:val="00FA0EFF"/>
    <w:rsid w:val="00FB2F7B"/>
    <w:rsid w:val="00FC11D9"/>
    <w:rsid w:val="00FD037B"/>
    <w:rsid w:val="00FD593C"/>
    <w:rsid w:val="00FE4E5A"/>
    <w:rsid w:val="00FF072D"/>
    <w:rsid w:val="0273010D"/>
    <w:rsid w:val="02FC6B1A"/>
    <w:rsid w:val="03247D50"/>
    <w:rsid w:val="05C51508"/>
    <w:rsid w:val="07955800"/>
    <w:rsid w:val="07CE1BEB"/>
    <w:rsid w:val="09704EDC"/>
    <w:rsid w:val="09805A36"/>
    <w:rsid w:val="0A9C784D"/>
    <w:rsid w:val="0EF25AF2"/>
    <w:rsid w:val="13923AD1"/>
    <w:rsid w:val="13AF4D1D"/>
    <w:rsid w:val="15BE749A"/>
    <w:rsid w:val="17F81389"/>
    <w:rsid w:val="1BB060D1"/>
    <w:rsid w:val="1DB046C6"/>
    <w:rsid w:val="1E2F481F"/>
    <w:rsid w:val="2191610F"/>
    <w:rsid w:val="220C16C2"/>
    <w:rsid w:val="242F7AEC"/>
    <w:rsid w:val="2444710E"/>
    <w:rsid w:val="24CE0622"/>
    <w:rsid w:val="253F7A32"/>
    <w:rsid w:val="258258C9"/>
    <w:rsid w:val="263048E5"/>
    <w:rsid w:val="27E338AF"/>
    <w:rsid w:val="27F24A67"/>
    <w:rsid w:val="29946FD3"/>
    <w:rsid w:val="29E21160"/>
    <w:rsid w:val="2A1738F0"/>
    <w:rsid w:val="2A81520E"/>
    <w:rsid w:val="31020F12"/>
    <w:rsid w:val="33EC67B8"/>
    <w:rsid w:val="34552260"/>
    <w:rsid w:val="35A46CE3"/>
    <w:rsid w:val="384C2D3B"/>
    <w:rsid w:val="3CDE3DFA"/>
    <w:rsid w:val="3D691C87"/>
    <w:rsid w:val="3EC3299E"/>
    <w:rsid w:val="3ED74BA8"/>
    <w:rsid w:val="3F6F1681"/>
    <w:rsid w:val="3FFFA10C"/>
    <w:rsid w:val="414853E2"/>
    <w:rsid w:val="41C363F5"/>
    <w:rsid w:val="44AD1ACE"/>
    <w:rsid w:val="458C3124"/>
    <w:rsid w:val="45E33F46"/>
    <w:rsid w:val="47460F19"/>
    <w:rsid w:val="4A9F768B"/>
    <w:rsid w:val="4D321618"/>
    <w:rsid w:val="4DB67BEB"/>
    <w:rsid w:val="4E56312A"/>
    <w:rsid w:val="4E654194"/>
    <w:rsid w:val="51BD1A89"/>
    <w:rsid w:val="51CF3437"/>
    <w:rsid w:val="53E64DE6"/>
    <w:rsid w:val="53E862B7"/>
    <w:rsid w:val="5575037D"/>
    <w:rsid w:val="57AE4B94"/>
    <w:rsid w:val="57FE733C"/>
    <w:rsid w:val="59EE2839"/>
    <w:rsid w:val="5AAE0560"/>
    <w:rsid w:val="5ADF3383"/>
    <w:rsid w:val="643B2739"/>
    <w:rsid w:val="647F6784"/>
    <w:rsid w:val="67D77C40"/>
    <w:rsid w:val="682C1C42"/>
    <w:rsid w:val="69E55DB8"/>
    <w:rsid w:val="6D431E87"/>
    <w:rsid w:val="6DB11209"/>
    <w:rsid w:val="6EF96529"/>
    <w:rsid w:val="705636CC"/>
    <w:rsid w:val="70A92BD7"/>
    <w:rsid w:val="71037370"/>
    <w:rsid w:val="723E7C81"/>
    <w:rsid w:val="727E32FF"/>
    <w:rsid w:val="73F06C15"/>
    <w:rsid w:val="75D34C9C"/>
    <w:rsid w:val="765930F0"/>
    <w:rsid w:val="777A750F"/>
    <w:rsid w:val="77DEB4C0"/>
    <w:rsid w:val="78374CFC"/>
    <w:rsid w:val="7A37447D"/>
    <w:rsid w:val="7A813119"/>
    <w:rsid w:val="7BFE6A92"/>
    <w:rsid w:val="7DE048B3"/>
    <w:rsid w:val="7EBF4326"/>
    <w:rsid w:val="B2BFEAD6"/>
    <w:rsid w:val="D3ECCD79"/>
    <w:rsid w:val="DF5804C9"/>
    <w:rsid w:val="EF378F91"/>
    <w:rsid w:val="F1EF9C80"/>
    <w:rsid w:val="F7FFC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w w:val="90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8680"/>
      </w:tabs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2"/>
    <w:qFormat/>
    <w:uiPriority w:val="99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 w:firstLineChars="0"/>
      <w:jc w:val="left"/>
    </w:pPr>
    <w:rPr>
      <w:rFonts w:ascii="宋体" w:hAnsi="宋体" w:eastAsia="宋体" w:cs="宋体"/>
      <w:w w:val="100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1"/>
    <w:link w:val="4"/>
    <w:semiHidden/>
    <w:qFormat/>
    <w:uiPriority w:val="99"/>
    <w:rPr>
      <w:rFonts w:eastAsia="仿宋_GB2312"/>
      <w:w w:val="90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rFonts w:eastAsia="仿宋_GB2312"/>
      <w:w w:val="90"/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rFonts w:eastAsia="仿宋_GB2312"/>
      <w:w w:val="90"/>
      <w:kern w:val="2"/>
      <w:sz w:val="18"/>
      <w:szCs w:val="18"/>
    </w:rPr>
  </w:style>
  <w:style w:type="character" w:customStyle="1" w:styleId="16">
    <w:name w:val="HTML 预设格式 Char"/>
    <w:basedOn w:val="11"/>
    <w:link w:val="7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 Char Char 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Arial" w:hAnsi="Arial" w:eastAsia="Times New Roman" w:cs="Verdana"/>
      <w:b/>
      <w:w w:val="100"/>
      <w:kern w:val="0"/>
      <w:sz w:val="24"/>
      <w:szCs w:val="20"/>
      <w:lang w:eastAsia="en-US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81"/>
    <w:basedOn w:val="11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04aaa67a-7489-407f-9264-69291744f39b</errorID>
      <errorWord>更</errorWord>
      <group>L1_Word</group>
      <groupName>字词问题</groupName>
      <ability>L2_Typo</ability>
      <abilityName>字词错误</abilityName>
      <candidateList>
        <item>更加</item>
      </candidateList>
      <explain>〈副〉表示程度上又深了一层或者数量上进一步增加或减少：公家的书，应该～爱护｜天色渐亮，晨星～稀少了。</explain>
      <paraID>22846726</paraID>
      <start>426</start>
      <end>427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ed1596-0a6b-4f32-be5a-3966bfa22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4582</Words>
  <Characters>4924</Characters>
  <Lines>50</Lines>
  <Paragraphs>14</Paragraphs>
  <TotalTime>0</TotalTime>
  <ScaleCrop>false</ScaleCrop>
  <LinksUpToDate>false</LinksUpToDate>
  <CharactersWithSpaces>4956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2018-10-31T09:56:00Z</dcterms:created>
  <dc:creator>User</dc:creator>
  <cp:lastModifiedBy>十</cp:lastModifiedBy>
  <cp:lastPrinted>2023-06-06T17:21:00Z</cp:lastPrinted>
  <dcterms:modified xsi:type="dcterms:W3CDTF">2026-04-23T09:35:06Z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668513E0D7A1DBCBF853BB695CF744F1_43</vt:lpwstr>
  </property>
  <property fmtid="{D5CDD505-2E9C-101B-9397-08002B2CF9AE}" pid="4" name="KSOTemplateDocerSaveRecord">
    <vt:lpwstr>eyJoZGlkIjoiZWEyYTMzYzZjNjVkMzI2OWZkOWYzNjA1MGU0ZWI1ODQiLCJ1c2VySWQiOiI0MjU3MzQwMTEifQ==</vt:lpwstr>
  </property>
</Properties>
</file>