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127B4">
      <w:pPr>
        <w:spacing w:after="0" w:line="56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14:paraId="262B75CC">
      <w:pPr>
        <w:widowControl w:val="0"/>
        <w:adjustRightInd/>
        <w:snapToGrid/>
        <w:spacing w:after="0"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宁夏回族自治区消防安全重点单位</w:t>
      </w:r>
    </w:p>
    <w:p w14:paraId="33768E61">
      <w:pPr>
        <w:widowControl w:val="0"/>
        <w:adjustRightInd/>
        <w:snapToGrid/>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申报备案登记表</w:t>
      </w:r>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7"/>
        <w:gridCol w:w="3675"/>
        <w:gridCol w:w="1114"/>
        <w:gridCol w:w="1824"/>
      </w:tblGrid>
      <w:tr w14:paraId="1943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4B97B848">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申报单位名称</w:t>
            </w:r>
          </w:p>
        </w:tc>
        <w:tc>
          <w:tcPr>
            <w:tcW w:w="4082" w:type="dxa"/>
            <w:gridSpan w:val="2"/>
            <w:vAlign w:val="center"/>
          </w:tcPr>
          <w:p w14:paraId="743D93C7">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C01218D">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消防安全责任人</w:t>
            </w:r>
          </w:p>
        </w:tc>
        <w:tc>
          <w:tcPr>
            <w:tcW w:w="1824" w:type="dxa"/>
            <w:vAlign w:val="center"/>
          </w:tcPr>
          <w:p w14:paraId="5FEFBCBD">
            <w:pPr>
              <w:pStyle w:val="5"/>
              <w:spacing w:after="0" w:line="240" w:lineRule="exact"/>
              <w:ind w:left="0" w:leftChars="0" w:firstLine="0" w:firstLineChars="0"/>
              <w:jc w:val="both"/>
              <w:rPr>
                <w:rFonts w:ascii="黑体" w:hAnsi="黑体" w:eastAsia="黑体" w:cs="黑体"/>
                <w:kern w:val="0"/>
                <w:sz w:val="21"/>
                <w:szCs w:val="21"/>
              </w:rPr>
            </w:pPr>
          </w:p>
        </w:tc>
      </w:tr>
      <w:tr w14:paraId="5AA7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0F0F782E">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统一社会信用代码</w:t>
            </w:r>
          </w:p>
        </w:tc>
        <w:tc>
          <w:tcPr>
            <w:tcW w:w="4082" w:type="dxa"/>
            <w:gridSpan w:val="2"/>
            <w:vAlign w:val="center"/>
          </w:tcPr>
          <w:p w14:paraId="17A62B78">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43DCCC1E">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联系方式</w:t>
            </w:r>
          </w:p>
        </w:tc>
        <w:tc>
          <w:tcPr>
            <w:tcW w:w="1824" w:type="dxa"/>
            <w:vAlign w:val="center"/>
          </w:tcPr>
          <w:p w14:paraId="69F4B2CA">
            <w:pPr>
              <w:pStyle w:val="5"/>
              <w:spacing w:after="0" w:line="240" w:lineRule="exact"/>
              <w:ind w:left="0" w:leftChars="0" w:firstLine="0" w:firstLineChars="0"/>
              <w:jc w:val="both"/>
              <w:rPr>
                <w:rFonts w:ascii="黑体" w:hAnsi="黑体" w:eastAsia="黑体" w:cs="黑体"/>
                <w:kern w:val="0"/>
                <w:sz w:val="21"/>
                <w:szCs w:val="21"/>
              </w:rPr>
            </w:pPr>
          </w:p>
        </w:tc>
      </w:tr>
      <w:tr w14:paraId="17C4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3B8ABF23">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单位（场所）名称</w:t>
            </w:r>
          </w:p>
        </w:tc>
        <w:tc>
          <w:tcPr>
            <w:tcW w:w="4082" w:type="dxa"/>
            <w:gridSpan w:val="2"/>
            <w:vAlign w:val="center"/>
          </w:tcPr>
          <w:p w14:paraId="5B82D323">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1C49263">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消防安全管理人</w:t>
            </w:r>
          </w:p>
        </w:tc>
        <w:tc>
          <w:tcPr>
            <w:tcW w:w="1824" w:type="dxa"/>
            <w:vAlign w:val="center"/>
          </w:tcPr>
          <w:p w14:paraId="1CA39ECF">
            <w:pPr>
              <w:pStyle w:val="5"/>
              <w:spacing w:after="0" w:line="240" w:lineRule="exact"/>
              <w:ind w:left="0" w:leftChars="0" w:firstLine="0" w:firstLineChars="0"/>
              <w:jc w:val="both"/>
              <w:rPr>
                <w:rFonts w:ascii="黑体" w:hAnsi="黑体" w:eastAsia="黑体" w:cs="黑体"/>
                <w:kern w:val="0"/>
                <w:sz w:val="21"/>
                <w:szCs w:val="21"/>
              </w:rPr>
            </w:pPr>
          </w:p>
        </w:tc>
      </w:tr>
      <w:tr w14:paraId="0432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vAlign w:val="center"/>
          </w:tcPr>
          <w:p w14:paraId="7C1D810B">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单位（场所）地址</w:t>
            </w:r>
          </w:p>
        </w:tc>
        <w:tc>
          <w:tcPr>
            <w:tcW w:w="4082" w:type="dxa"/>
            <w:gridSpan w:val="2"/>
            <w:vAlign w:val="center"/>
          </w:tcPr>
          <w:p w14:paraId="514D0C05">
            <w:pPr>
              <w:pStyle w:val="5"/>
              <w:spacing w:after="0" w:line="240" w:lineRule="exact"/>
              <w:ind w:left="0" w:leftChars="0" w:firstLine="0" w:firstLineChars="0"/>
              <w:jc w:val="both"/>
              <w:rPr>
                <w:rFonts w:ascii="黑体" w:hAnsi="黑体" w:eastAsia="黑体" w:cs="黑体"/>
                <w:kern w:val="0"/>
                <w:sz w:val="21"/>
                <w:szCs w:val="21"/>
              </w:rPr>
            </w:pPr>
          </w:p>
        </w:tc>
        <w:tc>
          <w:tcPr>
            <w:tcW w:w="1114" w:type="dxa"/>
            <w:vAlign w:val="center"/>
          </w:tcPr>
          <w:p w14:paraId="3E9749B9">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联系方式</w:t>
            </w:r>
          </w:p>
        </w:tc>
        <w:tc>
          <w:tcPr>
            <w:tcW w:w="1824" w:type="dxa"/>
            <w:vAlign w:val="center"/>
          </w:tcPr>
          <w:p w14:paraId="4A0545E6">
            <w:pPr>
              <w:pStyle w:val="5"/>
              <w:spacing w:after="0" w:line="240" w:lineRule="exact"/>
              <w:ind w:left="0" w:leftChars="0" w:firstLine="0" w:firstLineChars="0"/>
              <w:jc w:val="both"/>
              <w:rPr>
                <w:rFonts w:ascii="黑体" w:hAnsi="黑体" w:eastAsia="黑体" w:cs="黑体"/>
                <w:kern w:val="0"/>
                <w:sz w:val="21"/>
                <w:szCs w:val="21"/>
              </w:rPr>
            </w:pPr>
          </w:p>
        </w:tc>
      </w:tr>
      <w:tr w14:paraId="7FB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9" w:type="dxa"/>
            <w:gridSpan w:val="2"/>
            <w:vAlign w:val="center"/>
          </w:tcPr>
          <w:p w14:paraId="3331C91A">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申报单位主类别</w:t>
            </w:r>
          </w:p>
        </w:tc>
        <w:tc>
          <w:tcPr>
            <w:tcW w:w="6613" w:type="dxa"/>
            <w:gridSpan w:val="3"/>
            <w:vAlign w:val="center"/>
          </w:tcPr>
          <w:p w14:paraId="72B55E5A">
            <w:pPr>
              <w:pStyle w:val="5"/>
              <w:spacing w:after="0" w:line="240" w:lineRule="exact"/>
              <w:ind w:left="0" w:leftChars="0" w:firstLine="0" w:firstLineChars="0"/>
              <w:jc w:val="center"/>
              <w:rPr>
                <w:rFonts w:ascii="黑体" w:hAnsi="黑体" w:eastAsia="黑体" w:cs="黑体"/>
                <w:kern w:val="0"/>
                <w:sz w:val="21"/>
                <w:szCs w:val="21"/>
              </w:rPr>
            </w:pPr>
            <w:r>
              <w:rPr>
                <w:rFonts w:hint="eastAsia" w:ascii="黑体" w:hAnsi="黑体" w:eastAsia="黑体" w:cs="黑体"/>
                <w:kern w:val="0"/>
                <w:sz w:val="21"/>
                <w:szCs w:val="21"/>
              </w:rPr>
              <w:t>申报单位分类别</w:t>
            </w:r>
          </w:p>
        </w:tc>
      </w:tr>
      <w:tr w14:paraId="7D3A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2068C1BA">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一、商场（市场）、宾馆（饭店）、体育场（馆）、会堂、公共娱乐等场所</w:t>
            </w:r>
          </w:p>
        </w:tc>
        <w:tc>
          <w:tcPr>
            <w:tcW w:w="6613" w:type="dxa"/>
            <w:gridSpan w:val="3"/>
            <w:vAlign w:val="center"/>
          </w:tcPr>
          <w:p w14:paraId="591B85C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（一）任意一层建筑面积大于1500平方米或总建筑面积大于3000平方米的商场、市场等商店类场所，总建筑面积大于1000平方米的地下或半地下商场、市场等商店类场所。</w:t>
            </w:r>
          </w:p>
        </w:tc>
      </w:tr>
      <w:tr w14:paraId="045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8DEB8F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76D7A35">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（二）任意一层建筑面积大于1500平方米或总建筑面积大于3000平方米的宾馆、旅馆、酒店、饭店等住宿餐饮类场所</w:t>
            </w:r>
          </w:p>
        </w:tc>
      </w:tr>
      <w:tr w14:paraId="02E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D3EAA6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04C1AA31">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（三）固定座位数大于3000个的公共体育馆，固定座位数大于5000个的公共体育场，固定座位数大于2000个的会堂、礼堂。</w:t>
            </w:r>
          </w:p>
        </w:tc>
      </w:tr>
      <w:tr w14:paraId="791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20B0B1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4DD6FC7">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（四）建筑面积大于2500平方米的电影院、影剧院。</w:t>
            </w:r>
          </w:p>
        </w:tc>
      </w:tr>
      <w:tr w14:paraId="4D17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09" w:type="dxa"/>
            <w:gridSpan w:val="2"/>
            <w:vMerge w:val="continue"/>
            <w:vAlign w:val="center"/>
          </w:tcPr>
          <w:p w14:paraId="5CA326C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86D79B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（五）设在建筑地上第一层至第三层内总建筑面积大于500平方米，或设在其他楼层总建筑面积大于300平方米的公共娱乐类场所：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1.歌舞厅、KTV、卡拉OK厅等歌舞娱乐场所；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2.具有娱乐功能的夜总会、音乐茶座（酒吧、咖啡厅）和餐饮场所；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3.游艺游乐场所；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4.互联网上网服务营业场所（不含电竞酒店）。</w:t>
            </w:r>
          </w:p>
        </w:tc>
      </w:tr>
      <w:tr w14:paraId="34AD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6F2405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506871B2">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（六）建筑面积大于1000平方米的保龄球馆、溜（旱）冰场、桑拿浴室（含足浴）等营业性健身、休闲场所。</w:t>
            </w:r>
          </w:p>
        </w:tc>
      </w:tr>
      <w:tr w14:paraId="5513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C8E4D5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669F02C">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（七）单体建筑内客房总数大于50间的公寓式酒店、电竞酒店。</w:t>
            </w:r>
          </w:p>
        </w:tc>
      </w:tr>
      <w:tr w14:paraId="662F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0ADAF986">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二、医院、养老院、福利院和学校、托儿所、幼儿园</w:t>
            </w:r>
          </w:p>
        </w:tc>
        <w:tc>
          <w:tcPr>
            <w:tcW w:w="6613" w:type="dxa"/>
            <w:gridSpan w:val="3"/>
            <w:vAlign w:val="center"/>
          </w:tcPr>
          <w:p w14:paraId="7987794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（一）医疗类场所：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1.二级、三级医院；</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2.病房楼或门诊楼总建筑面积大于2500平方米；</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3.病房楼、门诊楼设在高层民用建筑内。</w:t>
            </w:r>
          </w:p>
        </w:tc>
      </w:tr>
      <w:tr w14:paraId="73A7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2B0458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A545864">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（二）床位数大于50张的养老机构、福利机构、救助管理站。</w:t>
            </w:r>
          </w:p>
        </w:tc>
      </w:tr>
      <w:tr w14:paraId="18E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9CF572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020B1F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（三）总建筑面积大于3000平方米，或产妇住宿床位数大于50张的母婴照护服务机构（月子中心）。</w:t>
            </w:r>
          </w:p>
        </w:tc>
      </w:tr>
      <w:tr w14:paraId="6F5A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AFC616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70D514B">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（四）学校类场所：</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1.学生集体宿舍的住宿床位在100张及以上的学校；</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2.大型托儿所、幼儿园；</w:t>
            </w:r>
            <w:r>
              <w:rPr>
                <w:rFonts w:hint="eastAsia" w:eastAsia="方正仿宋_GBK" w:cs="方正仿宋_GBK"/>
                <w:kern w:val="0"/>
                <w:sz w:val="21"/>
                <w:szCs w:val="21"/>
              </w:rPr>
              <w:sym w:font="Wingdings" w:char="00A8"/>
            </w:r>
            <w:r>
              <w:rPr>
                <w:rFonts w:hint="eastAsia" w:eastAsia="方正仿宋_GBK" w:cs="方正仿宋_GBK"/>
                <w:kern w:val="0"/>
                <w:sz w:val="21"/>
                <w:szCs w:val="21"/>
              </w:rPr>
              <w:t xml:space="preserve">  3.儿童活动用房总建筑面积大于1500平方米或学生集体宿舍的住宿床位在50张及以上的校外培训机构。</w:t>
            </w:r>
          </w:p>
        </w:tc>
      </w:tr>
      <w:tr w14:paraId="34C9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1A9AD96C">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三、国家机关、城镇重要场所和设施</w:t>
            </w:r>
          </w:p>
        </w:tc>
        <w:tc>
          <w:tcPr>
            <w:tcW w:w="6613" w:type="dxa"/>
            <w:gridSpan w:val="3"/>
            <w:vAlign w:val="center"/>
          </w:tcPr>
          <w:p w14:paraId="3ACE576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（一）县级以上党委、人大、政府、政协、人民法院、人民检察院。</w:t>
            </w:r>
          </w:p>
        </w:tc>
      </w:tr>
      <w:tr w14:paraId="23DA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55C7C2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87DAF3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（二）县级以上的广播电台、电视台。</w:t>
            </w:r>
          </w:p>
        </w:tc>
      </w:tr>
      <w:tr w14:paraId="549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952688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02B4D9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（三）县级以上邮政、通信枢纽、防灾指挥调度单位。</w:t>
            </w:r>
          </w:p>
        </w:tc>
      </w:tr>
      <w:tr w14:paraId="3077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D1C034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CCD23FC">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（四）政府储备粮食仓储库。</w:t>
            </w:r>
          </w:p>
        </w:tc>
      </w:tr>
      <w:tr w14:paraId="3505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CB2D826">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0B3AB83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（五）县级以上政务服务中心。</w:t>
            </w:r>
          </w:p>
        </w:tc>
      </w:tr>
      <w:tr w14:paraId="530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F793C1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6F2ECE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（六）市级以上的数据处理中心。</w:t>
            </w:r>
          </w:p>
        </w:tc>
      </w:tr>
      <w:tr w14:paraId="1436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F03C2D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3024DB4">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（七）建筑面积大于50000平方米的团体、企业、事业单位办公场所。</w:t>
            </w:r>
          </w:p>
        </w:tc>
      </w:tr>
      <w:tr w14:paraId="19C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7D8A625">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5B39067">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（八）高层公共建筑的办公楼、写字楼、公寓楼（不包含商住楼的住宅部分）。</w:t>
            </w:r>
          </w:p>
        </w:tc>
      </w:tr>
      <w:tr w14:paraId="4A63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704FDE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E9EC11A">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（九）总储存面积大于10000平方米的可燃物品仓储物流企业。</w:t>
            </w:r>
          </w:p>
        </w:tc>
      </w:tr>
      <w:tr w14:paraId="4B4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5E8FD005">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四、交通枢纽</w:t>
            </w:r>
          </w:p>
        </w:tc>
        <w:tc>
          <w:tcPr>
            <w:tcW w:w="6613" w:type="dxa"/>
            <w:gridSpan w:val="3"/>
            <w:vAlign w:val="center"/>
          </w:tcPr>
          <w:p w14:paraId="2FF5C75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（一）民用机场航站楼。</w:t>
            </w:r>
          </w:p>
        </w:tc>
      </w:tr>
      <w:tr w14:paraId="5DCC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5265611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7A0DAA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（二）候车（船）厅总建筑面积大于1000平方米的公路客运车站、船舶码头。</w:t>
            </w:r>
          </w:p>
        </w:tc>
      </w:tr>
      <w:tr w14:paraId="7C0A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11391343">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五、公共图书馆、展览馆、博物馆，档案馆，文物保护单位，旅游景区，宗教场所</w:t>
            </w:r>
          </w:p>
        </w:tc>
        <w:tc>
          <w:tcPr>
            <w:tcW w:w="6613" w:type="dxa"/>
            <w:gridSpan w:val="3"/>
            <w:vAlign w:val="center"/>
          </w:tcPr>
          <w:p w14:paraId="122A576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（一）任一层建筑面积大于1500平方米或总建筑面积大于3000平方米且对公众开放的公共图书馆、展览馆、博物馆类场所。</w:t>
            </w:r>
          </w:p>
        </w:tc>
      </w:tr>
      <w:tr w14:paraId="7EAA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7F8DC3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3325D7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（二）县级以上档案馆。</w:t>
            </w:r>
          </w:p>
        </w:tc>
      </w:tr>
      <w:tr w14:paraId="2BA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2799805A">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439614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（三）具有火灾危险性的省级以上文物保护单位、世界文化遗产。</w:t>
            </w:r>
          </w:p>
        </w:tc>
      </w:tr>
      <w:tr w14:paraId="1FB7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291E11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A0EDEC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（四）AAAA级以上旅游景区。</w:t>
            </w:r>
          </w:p>
        </w:tc>
      </w:tr>
      <w:tr w14:paraId="1732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9A43170">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EB0C25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（五）对公众开放，兼具旅游、观光、娱乐、住宿等功能的葡萄酒生产加工企业。</w:t>
            </w:r>
          </w:p>
        </w:tc>
      </w:tr>
      <w:tr w14:paraId="117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17560D19">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9C03184">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（六）殿堂厅（室）建筑面积大于1000平方米以上的宗教活动场所。</w:t>
            </w:r>
          </w:p>
        </w:tc>
      </w:tr>
      <w:tr w14:paraId="01AA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50E19E34">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六、发电厂（站）和电网经营单位</w:t>
            </w:r>
          </w:p>
        </w:tc>
        <w:tc>
          <w:tcPr>
            <w:tcW w:w="6613" w:type="dxa"/>
            <w:gridSpan w:val="3"/>
            <w:vAlign w:val="center"/>
          </w:tcPr>
          <w:p w14:paraId="0A9D788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（一）总装机容量大于300MW的火力发电厂，总装机容量大于100MW的水力发电站。</w:t>
            </w:r>
          </w:p>
        </w:tc>
      </w:tr>
      <w:tr w14:paraId="2037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0849B1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5FA982C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（二）总装机容量大于200MW的光伏发电站、风力发电站或联合发电站。</w:t>
            </w:r>
          </w:p>
        </w:tc>
      </w:tr>
      <w:tr w14:paraId="04CD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B87598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7FD5221">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（三）电压等级大于330KV的输变电场站。</w:t>
            </w:r>
          </w:p>
        </w:tc>
      </w:tr>
      <w:tr w14:paraId="601E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0B8273E">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591CA17">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（四）功率为200MW且容量为400MW·h及以上电化学储能电站。</w:t>
            </w:r>
          </w:p>
        </w:tc>
      </w:tr>
      <w:tr w14:paraId="0F6F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19236ED">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0416EC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（五）城市或区域性电力指挥调度中心、电网经营企业。</w:t>
            </w:r>
          </w:p>
        </w:tc>
      </w:tr>
      <w:tr w14:paraId="268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605D2817">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七、易燃易爆化学物品的生产、充装、储存、供应、销售单位</w:t>
            </w:r>
          </w:p>
        </w:tc>
        <w:tc>
          <w:tcPr>
            <w:tcW w:w="6613" w:type="dxa"/>
            <w:gridSpan w:val="3"/>
            <w:vAlign w:val="center"/>
          </w:tcPr>
          <w:p w14:paraId="6B8F1F79">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（一）建有甲、乙类储罐区单座容积大于5000立方米或者总容积大于20000立方米的企业。</w:t>
            </w:r>
          </w:p>
        </w:tc>
      </w:tr>
      <w:tr w14:paraId="17C7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3B1FB833">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A0DE43A">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（二）建有液化烃（含液化石油气）储罐单座容积大于500立方米或者总容积大于2000立方米的企业。 </w:t>
            </w:r>
          </w:p>
        </w:tc>
      </w:tr>
      <w:tr w14:paraId="673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92A6F3C">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A40161F">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（三）建有甲类厂房总建筑面积大于1000平方米或乙类厂房总建筑面积大于2000平方米的企业。</w:t>
            </w:r>
          </w:p>
        </w:tc>
      </w:tr>
      <w:tr w14:paraId="3D43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B68C50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4E448D16">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（四）建有甲类物品仓库总建筑面积大于500平方米或乙类物品仓库总建筑面积大于1000平方米的企业。</w:t>
            </w:r>
          </w:p>
        </w:tc>
      </w:tr>
      <w:tr w14:paraId="79B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1C3AEC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24F271A5">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（五）县级以上城镇燃气生产、储存、经营企业。</w:t>
            </w:r>
          </w:p>
        </w:tc>
      </w:tr>
      <w:tr w14:paraId="5C4F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6CA7568">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1D6BB66">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（六）二级以上汽车加油、加气、加氢站（含合建站）。</w:t>
            </w:r>
          </w:p>
        </w:tc>
      </w:tr>
      <w:tr w14:paraId="5CF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vAlign w:val="center"/>
          </w:tcPr>
          <w:p w14:paraId="098AE5BA">
            <w:pPr>
              <w:pStyle w:val="5"/>
              <w:spacing w:after="0" w:line="240" w:lineRule="exact"/>
              <w:ind w:left="0" w:leftChars="0" w:firstLine="0" w:firstLineChars="0"/>
              <w:jc w:val="both"/>
              <w:rPr>
                <w:rFonts w:eastAsia="方正仿宋_GBK" w:cs="方正仿宋_GBK"/>
                <w:kern w:val="0"/>
                <w:sz w:val="21"/>
                <w:szCs w:val="21"/>
              </w:rPr>
            </w:pPr>
            <w:r>
              <w:rPr>
                <w:rFonts w:hint="eastAsia" w:eastAsia="方正仿宋_GBK" w:cs="方正仿宋_GBK"/>
                <w:kern w:val="0"/>
                <w:sz w:val="21"/>
                <w:szCs w:val="21"/>
              </w:rPr>
              <w:t>八、其他发生火灾可能性较大或一旦发生火灾可能造成人身重大伤亡或者财产重大损失的单位</w:t>
            </w:r>
          </w:p>
        </w:tc>
        <w:tc>
          <w:tcPr>
            <w:tcW w:w="6613" w:type="dxa"/>
            <w:gridSpan w:val="3"/>
            <w:vAlign w:val="center"/>
          </w:tcPr>
          <w:p w14:paraId="6D9406F3">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（一）自治区级以上科研单位。</w:t>
            </w:r>
          </w:p>
        </w:tc>
      </w:tr>
      <w:tr w14:paraId="4911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62D4D47B">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ED927E2">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（二）金融机构：</w:t>
            </w: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1.分行级以上银行办公场所；</w:t>
            </w: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2.银行业、保险业、证券业数据处理中心。</w:t>
            </w:r>
          </w:p>
        </w:tc>
      </w:tr>
      <w:tr w14:paraId="25BE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909" w:type="dxa"/>
            <w:gridSpan w:val="2"/>
            <w:vMerge w:val="continue"/>
            <w:vAlign w:val="center"/>
          </w:tcPr>
          <w:p w14:paraId="7AA0215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139A9588">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（三）建筑面积大于500平方米的剧本杀、密室逃脱等剧本娱乐经营场所。</w:t>
            </w:r>
          </w:p>
        </w:tc>
      </w:tr>
      <w:tr w14:paraId="0FA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7B7DC632">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67C4B988">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（四）同一工作时间段生产车间员工人数大于50人或总建筑面积大于6000平方米，从事服装、鞋帽、纺织、玩具、木制品、电子、塑料、食品加工、印刷等劳动密集型企业。</w:t>
            </w:r>
          </w:p>
        </w:tc>
      </w:tr>
      <w:tr w14:paraId="4C77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46544157">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33F8274B">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（五）厂区（矿区）内建有总建筑面积大于3000平方米员工集体宿舍的企业。</w:t>
            </w:r>
          </w:p>
        </w:tc>
      </w:tr>
      <w:tr w14:paraId="097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vAlign w:val="center"/>
          </w:tcPr>
          <w:p w14:paraId="0D81FC94">
            <w:pPr>
              <w:pStyle w:val="5"/>
              <w:spacing w:after="0" w:line="240" w:lineRule="exact"/>
              <w:ind w:left="0" w:leftChars="0" w:firstLine="0" w:firstLineChars="0"/>
              <w:jc w:val="both"/>
              <w:rPr>
                <w:rFonts w:eastAsia="方正仿宋_GBK" w:cs="方正仿宋_GBK"/>
                <w:kern w:val="0"/>
                <w:sz w:val="21"/>
                <w:szCs w:val="21"/>
              </w:rPr>
            </w:pPr>
          </w:p>
        </w:tc>
        <w:tc>
          <w:tcPr>
            <w:tcW w:w="6613" w:type="dxa"/>
            <w:gridSpan w:val="3"/>
            <w:vAlign w:val="center"/>
          </w:tcPr>
          <w:p w14:paraId="7D8554DE">
            <w:pPr>
              <w:widowControl w:val="0"/>
              <w:adjustRightInd/>
              <w:snapToGrid/>
              <w:spacing w:after="0" w:line="240" w:lineRule="exact"/>
              <w:jc w:val="both"/>
              <w:rPr>
                <w:rFonts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sz w:val="21"/>
                <w:szCs w:val="21"/>
              </w:rPr>
              <w:sym w:font="Wingdings" w:char="00A8"/>
            </w:r>
            <w:r>
              <w:rPr>
                <w:rFonts w:hint="eastAsia" w:ascii="Times New Roman" w:hAnsi="Times New Roman" w:eastAsia="方正仿宋_GBK" w:cs="方正仿宋_GBK"/>
                <w:color w:val="000000"/>
                <w:sz w:val="21"/>
                <w:szCs w:val="21"/>
              </w:rPr>
              <w:t xml:space="preserve">  （六）固定资产（建筑、设备、原材料等，不含土地价值）价值大于5000万元的工业企业。</w:t>
            </w:r>
          </w:p>
        </w:tc>
      </w:tr>
      <w:tr w14:paraId="71C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02C1E5AD">
            <w:pPr>
              <w:pStyle w:val="5"/>
              <w:spacing w:after="0" w:line="240" w:lineRule="exact"/>
              <w:ind w:left="0" w:leftChars="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根据《中华人民共和国消防法》《宁夏回族自治区实施〈消防法〉办法》《机关、团体、企业、事业单位消防安全管理规定》和《宁夏回族自治区消防安全重点单位界定标准》，我单位属消防安全重点单位，现申报备案。</w:t>
            </w:r>
          </w:p>
          <w:p w14:paraId="0CBF0CC3">
            <w:pPr>
              <w:widowControl w:val="0"/>
              <w:spacing w:after="0"/>
              <w:jc w:val="both"/>
              <w:rPr>
                <w:rFonts w:ascii="方正仿宋_GBK" w:hAnsi="方正仿宋_GBK" w:eastAsia="方正仿宋_GBK" w:cs="方正仿宋_GBK"/>
                <w:sz w:val="21"/>
                <w:szCs w:val="21"/>
              </w:rPr>
            </w:pPr>
          </w:p>
          <w:p w14:paraId="1B3DB942">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法人代表人或主要负责人（签名）：</w:t>
            </w:r>
          </w:p>
          <w:p w14:paraId="2C1CE1AE">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（加盖单位盖章）</w:t>
            </w:r>
          </w:p>
          <w:p w14:paraId="656F6C8D">
            <w:pPr>
              <w:pStyle w:val="5"/>
              <w:spacing w:after="0" w:line="240" w:lineRule="exact"/>
              <w:ind w:left="0" w:leftChars="0" w:firstLine="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年    月    日</w:t>
            </w:r>
          </w:p>
          <w:p w14:paraId="30852441">
            <w:pPr>
              <w:widowControl w:val="0"/>
              <w:adjustRightInd/>
              <w:snapToGrid/>
              <w:spacing w:after="0" w:line="160" w:lineRule="exact"/>
              <w:jc w:val="both"/>
              <w:rPr>
                <w:rFonts w:eastAsia="宋体" w:cs="Times New Roman"/>
                <w:sz w:val="20"/>
                <w:szCs w:val="20"/>
              </w:rPr>
            </w:pPr>
          </w:p>
        </w:tc>
      </w:tr>
      <w:tr w14:paraId="01FC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22" w:type="dxa"/>
            <w:gridSpan w:val="5"/>
            <w:vAlign w:val="center"/>
          </w:tcPr>
          <w:p w14:paraId="7369CAFC">
            <w:pPr>
              <w:pStyle w:val="5"/>
              <w:spacing w:after="0" w:line="240" w:lineRule="exact"/>
              <w:ind w:left="0" w:leftChars="0" w:firstLine="0" w:firstLineChars="0"/>
              <w:jc w:val="both"/>
              <w:rPr>
                <w:rFonts w:eastAsia="方正仿宋_GBK" w:cs="方正仿宋_GBK"/>
                <w:kern w:val="0"/>
                <w:sz w:val="21"/>
                <w:szCs w:val="21"/>
              </w:rPr>
            </w:pPr>
            <w:r>
              <w:rPr>
                <w:rFonts w:hint="eastAsia" w:ascii="方正黑体_GBK" w:hAnsi="方正黑体_GBK" w:eastAsia="方正黑体_GBK" w:cs="方正黑体_GBK"/>
                <w:kern w:val="0"/>
                <w:sz w:val="21"/>
                <w:szCs w:val="21"/>
              </w:rPr>
              <w:t>备注：</w:t>
            </w:r>
            <w:r>
              <w:rPr>
                <w:rFonts w:hint="eastAsia" w:eastAsia="方正仿宋_GBK" w:cs="方正仿宋_GBK"/>
                <w:kern w:val="0"/>
                <w:sz w:val="21"/>
                <w:szCs w:val="21"/>
              </w:rPr>
              <w:t>1.单位名称为申报单位的社会统一信用代码证或者营业执照等证照登记名称；</w:t>
            </w:r>
          </w:p>
          <w:p w14:paraId="10CF6638">
            <w:pPr>
              <w:pStyle w:val="5"/>
              <w:spacing w:after="0" w:line="240" w:lineRule="exact"/>
              <w:ind w:left="0" w:leftChars="0" w:firstLine="630" w:firstLineChars="300"/>
              <w:jc w:val="both"/>
              <w:rPr>
                <w:rFonts w:eastAsia="方正仿宋_GBK" w:cs="方正仿宋_GBK"/>
                <w:kern w:val="0"/>
                <w:sz w:val="21"/>
                <w:szCs w:val="21"/>
              </w:rPr>
            </w:pPr>
            <w:r>
              <w:rPr>
                <w:rFonts w:hint="eastAsia" w:eastAsia="方正仿宋_GBK" w:cs="方正仿宋_GBK"/>
                <w:kern w:val="0"/>
                <w:sz w:val="21"/>
                <w:szCs w:val="21"/>
              </w:rPr>
              <w:t>2.申报单位在申报类别栏中选择最合适的一项打“√”；</w:t>
            </w:r>
          </w:p>
          <w:p w14:paraId="2ABD01BE">
            <w:pPr>
              <w:pStyle w:val="5"/>
              <w:spacing w:after="0" w:line="240" w:lineRule="exact"/>
              <w:ind w:left="0" w:leftChars="0" w:firstLine="630" w:firstLineChars="300"/>
              <w:jc w:val="both"/>
            </w:pPr>
            <w:r>
              <w:rPr>
                <w:rFonts w:hint="eastAsia" w:eastAsia="方正仿宋_GBK" w:cs="方正仿宋_GBK"/>
                <w:kern w:val="0"/>
                <w:sz w:val="21"/>
                <w:szCs w:val="21"/>
              </w:rPr>
              <w:t>3.此表正反印制，</w:t>
            </w:r>
            <w:r>
              <w:rPr>
                <w:rFonts w:hint="eastAsia" w:eastAsia="方正仿宋_GBK" w:cs="方正仿宋_GBK"/>
                <w:kern w:val="0"/>
                <w:sz w:val="21"/>
                <w:szCs w:val="21"/>
                <w:lang w:eastAsia="zh-CN"/>
              </w:rPr>
              <w:t>一式</w:t>
            </w:r>
            <w:r>
              <w:rPr>
                <w:rFonts w:hint="eastAsia" w:eastAsia="方正仿宋_GBK" w:cs="方正仿宋_GBK"/>
                <w:kern w:val="0"/>
                <w:sz w:val="21"/>
                <w:szCs w:val="21"/>
              </w:rPr>
              <w:t>两份，一份由申报单位留存，一份由消防部门存档。</w:t>
            </w:r>
          </w:p>
        </w:tc>
      </w:tr>
    </w:tbl>
    <w:p w14:paraId="6D9633F1">
      <w:pPr>
        <w:widowControl w:val="0"/>
        <w:adjustRightInd/>
        <w:snapToGrid/>
        <w:spacing w:after="0" w:line="560" w:lineRule="exact"/>
        <w:jc w:val="both"/>
        <w:rPr>
          <w:rFonts w:ascii="Times New Roman" w:hAnsi="Times New Roman" w:cs="Times New Roman"/>
          <w:sz w:val="10"/>
          <w:szCs w:val="1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D8A2803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E0C8A"/>
    <w:rsid w:val="00323B43"/>
    <w:rsid w:val="003D37D8"/>
    <w:rsid w:val="00426133"/>
    <w:rsid w:val="004358AB"/>
    <w:rsid w:val="008B7726"/>
    <w:rsid w:val="00D0732E"/>
    <w:rsid w:val="00D11100"/>
    <w:rsid w:val="00D31D50"/>
    <w:rsid w:val="00F029CA"/>
    <w:rsid w:val="00F07F48"/>
    <w:rsid w:val="3286491E"/>
    <w:rsid w:val="49F868AC"/>
    <w:rsid w:val="6A52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link w:val="9"/>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semiHidden/>
    <w:unhideWhenUsed/>
    <w:qFormat/>
    <w:uiPriority w:val="99"/>
    <w:pPr>
      <w:spacing w:after="120"/>
      <w:ind w:left="420" w:leftChars="200"/>
    </w:p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5">
    <w:name w:val="Body Text First Indent 2"/>
    <w:basedOn w:val="3"/>
    <w:next w:val="1"/>
    <w:link w:val="11"/>
    <w:qFormat/>
    <w:uiPriority w:val="0"/>
    <w:pPr>
      <w:widowControl w:val="0"/>
      <w:tabs>
        <w:tab w:val="left" w:pos="540"/>
      </w:tabs>
      <w:adjustRightInd/>
      <w:snapToGrid/>
      <w:spacing w:line="360" w:lineRule="auto"/>
      <w:ind w:firstLine="420" w:firstLineChars="200"/>
    </w:pPr>
    <w:rPr>
      <w:rFonts w:ascii="Times New Roman" w:hAnsi="Times New Roman" w:eastAsia="宋体" w:cs="Times New Roman"/>
      <w:color w:val="000000"/>
      <w:kern w:val="2"/>
      <w:sz w:val="24"/>
      <w:szCs w:val="24"/>
    </w:rPr>
  </w:style>
  <w:style w:type="table" w:styleId="7">
    <w:name w:val="Table Grid"/>
    <w:basedOn w:val="6"/>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正文文本缩进 Char"/>
    <w:basedOn w:val="8"/>
    <w:link w:val="3"/>
    <w:semiHidden/>
    <w:qFormat/>
    <w:uiPriority w:val="99"/>
    <w:rPr>
      <w:rFonts w:ascii="Tahoma" w:hAnsi="Tahoma"/>
    </w:rPr>
  </w:style>
  <w:style w:type="character" w:customStyle="1" w:styleId="11">
    <w:name w:val="正文首行缩进 2 Char"/>
    <w:basedOn w:val="10"/>
    <w:link w:val="5"/>
    <w:qFormat/>
    <w:uiPriority w:val="0"/>
    <w:rPr>
      <w:rFonts w:ascii="Times New Roman" w:hAnsi="Times New Roman" w:eastAsia="宋体" w:cs="Times New Roman"/>
      <w:color w:val="000000"/>
      <w:kern w:val="2"/>
      <w:sz w:val="24"/>
      <w:szCs w:val="24"/>
    </w:rPr>
  </w:style>
  <w:style w:type="paragraph" w:customStyle="1" w:styleId="12">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265047e4-5103-4b3d-a1ac-cf5b2b9b3c56</errorID>
      <errorWord>法人代表</errorWord>
      <group>L1_Word</group>
      <groupName>字词问题</groupName>
      <ability>L2_Typo</ability>
      <abilityName>字词错误</abilityName>
      <candidateList>
        <item>法定代表人</item>
      </candidateList>
      <explain/>
      <paraID>1B3DB942</paraID>
      <start>9</start>
      <end>13</end>
      <status>unmodified</status>
      <modifiedWord/>
      <trackRevisions>false</trackRevisions>
    </reviewItem>
    <reviewItem>
      <errorID>4e31acb9-7dc1-4db5-b820-e3ca1b82e556</errorID>
      <errorWord>盖章</errorWord>
      <group>L1_Word</group>
      <groupName>字词问题</groupName>
      <ability>L2_Typo</ability>
      <abilityName>字词错误</abilityName>
      <candidateList>
        <item>公章</item>
      </candidateList>
      <explain/>
      <paraID>2C1CE1AE</paraID>
      <start>57</start>
      <end>59</end>
      <status>unmodified</status>
      <modifiedWord/>
      <trackRevisions>false</trackRevisions>
    </reviewItem>
    <reviewItem>
      <errorID>811ac922-b0ad-43c1-9edf-82086804b157</errorID>
      <errorWord>一式一式</errorWord>
      <group>L1_Word</group>
      <groupName>字词问题</groupName>
      <ability>L2_Typo</ability>
      <abilityName>字词错误</abilityName>
      <candidateList>
        <item>一式</item>
      </candidateList>
      <explain/>
      <paraID>2ABD01BE</paraID>
      <start>9</start>
      <end>11</end>
      <status>modified</status>
      <modifiedWord>一式</modifiedWord>
      <trackRevisions>false</trackRevisions>
    </reviewItem>
  </reviewItems>
  <config/>
</contractReview>
</file>

<file path=customXml/itemProps1.xml><?xml version="1.0" encoding="utf-8"?>
<ds:datastoreItem xmlns:ds="http://schemas.openxmlformats.org/officeDocument/2006/customXml" ds:itemID="{4241f91f-6ef4-46ce-8150-a6f07cdce2d5}">
  <ds:schemaRefs/>
</ds:datastoreItem>
</file>

<file path=docProps/app.xml><?xml version="1.0" encoding="utf-8"?>
<Properties xmlns="http://schemas.openxmlformats.org/officeDocument/2006/extended-properties" xmlns:vt="http://schemas.openxmlformats.org/officeDocument/2006/docPropsVTypes">
  <Template>Normal</Template>
  <Pages>2</Pages>
  <Words>2168</Words>
  <Characters>2317</Characters>
  <Lines>36</Lines>
  <Paragraphs>10</Paragraphs>
  <TotalTime>42</TotalTime>
  <ScaleCrop>false</ScaleCrop>
  <LinksUpToDate>false</LinksUpToDate>
  <CharactersWithSpaces>2553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2026-01-08T03:39:00Z</dcterms:created>
  <dc:creator>Administrator</dc:creator>
  <cp:lastModifiedBy>　</cp:lastModifiedBy>
  <dcterms:modified xsi:type="dcterms:W3CDTF">2026-01-19T08:19:28Z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eyJoZGlkIjoiMGZhMjdmODdhMWQwYTJhMGYzODk3OTNmN2NhYjYzYmQiLCJ1c2VySWQiOiIxNjQ5MzIwOTEwIn0=</vt:lpwstr>
  </property>
  <property fmtid="{D5CDD505-2E9C-101B-9397-08002B2CF9AE}" pid="3" name="KSOProductBuildVer">
    <vt:lpwstr>2052-12.1.0.24657</vt:lpwstr>
  </property>
  <property fmtid="{D5CDD505-2E9C-101B-9397-08002B2CF9AE}" pid="4" name="ICV">
    <vt:lpwstr>C264AE9FE2334AE2B654908000B433FB_13</vt:lpwstr>
  </property>
</Properties>
</file>